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EE3B50"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EE3B50"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BE06C4" w:rsidRDefault="00BE06C4" w:rsidP="003E1DCF">
      <w:pPr>
        <w:jc w:val="center"/>
        <w:rPr>
          <w:rFonts w:ascii="Arial" w:hAnsi="Arial" w:cs="Arial"/>
          <w:b/>
          <w:bCs/>
          <w:sz w:val="28"/>
        </w:rPr>
      </w:pPr>
    </w:p>
    <w:p w:rsidR="008D0100"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3E1DCF" w:rsidRDefault="00BE06C4" w:rsidP="003E1DCF">
      <w:pPr>
        <w:jc w:val="center"/>
        <w:rPr>
          <w:rFonts w:ascii="Arial" w:hAnsi="Arial" w:cs="Arial"/>
          <w:sz w:val="20"/>
        </w:rPr>
      </w:pPr>
      <w:r>
        <w:rPr>
          <w:rFonts w:ascii="Arial" w:hAnsi="Arial" w:cs="Arial"/>
          <w:b/>
          <w:bCs/>
          <w:sz w:val="28"/>
        </w:rPr>
        <w:t>ADMINISTRATION</w:t>
      </w:r>
      <w:r w:rsidR="003E1DCF">
        <w:rPr>
          <w:rFonts w:ascii="Arial" w:hAnsi="Arial" w:cs="Arial"/>
          <w:b/>
          <w:bCs/>
          <w:sz w:val="28"/>
        </w:rPr>
        <w:br/>
      </w:r>
    </w:p>
    <w:p w:rsidR="001A7C03" w:rsidRDefault="001A7C03">
      <w:pPr>
        <w:spacing w:line="264" w:lineRule="auto"/>
        <w:rPr>
          <w:rFonts w:ascii="Arial" w:hAnsi="Arial" w:cs="Arial"/>
          <w:sz w:val="20"/>
        </w:rPr>
      </w:pPr>
      <w:r>
        <w:rPr>
          <w:rFonts w:ascii="Arial" w:hAnsi="Arial" w:cs="Arial"/>
          <w:sz w:val="20"/>
        </w:rPr>
        <w:t>This self-assessment tool is designed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 xml:space="preserve">This </w:t>
      </w:r>
      <w:r w:rsidR="00BE06C4">
        <w:rPr>
          <w:rFonts w:ascii="Arial" w:hAnsi="Arial" w:cs="Arial"/>
          <w:sz w:val="20"/>
        </w:rPr>
        <w:t>Administration</w:t>
      </w:r>
      <w:r w:rsidR="008D0100">
        <w:rPr>
          <w:rFonts w:ascii="Arial" w:hAnsi="Arial" w:cs="Arial"/>
          <w:sz w:val="20"/>
        </w:rPr>
        <w:t xml:space="preserve"> </w:t>
      </w:r>
      <w:r>
        <w:rPr>
          <w:rFonts w:ascii="Arial" w:hAnsi="Arial" w:cs="Arial"/>
          <w:sz w:val="20"/>
        </w:rPr>
        <w:t>tool is for private foundations with no full-time or part-time staff.  If your foundation has one or more full-time or part-time staff people, please use the accountability self-assessment tool for staffed private foundations.</w:t>
      </w:r>
    </w:p>
    <w:p w:rsidR="008D0100" w:rsidRDefault="008D0100">
      <w:pPr>
        <w:spacing w:line="264" w:lineRule="auto"/>
        <w:rPr>
          <w:rFonts w:ascii="Arial" w:hAnsi="Arial" w:cs="Arial"/>
          <w:sz w:val="20"/>
        </w:rPr>
      </w:pPr>
    </w:p>
    <w:p w:rsidR="008D0100" w:rsidRDefault="008D0100">
      <w:pPr>
        <w:spacing w:line="264" w:lineRule="auto"/>
        <w:rPr>
          <w:rFonts w:ascii="Arial" w:hAnsi="Arial" w:cs="Arial"/>
          <w:sz w:val="20"/>
        </w:rPr>
      </w:pPr>
      <w:r>
        <w:rPr>
          <w:rFonts w:ascii="Arial" w:hAnsi="Arial" w:cs="Arial"/>
          <w:sz w:val="20"/>
        </w:rPr>
        <w:t>Complete directions for how to use this tool are provided in a separate document.</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A7C03" w:rsidRDefault="001A7C03">
      <w:pPr>
        <w:rPr>
          <w:rFonts w:ascii="Arial" w:hAnsi="Arial" w:cs="Arial"/>
          <w:sz w:val="20"/>
        </w:rPr>
        <w:sectPr w:rsidR="001A7C0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080"/>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Administration</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internal operation and administration of its records and other information, technology and systems.  </w:t>
      </w: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6"/>
        <w:gridCol w:w="683"/>
        <w:gridCol w:w="656"/>
        <w:gridCol w:w="677"/>
      </w:tblGrid>
      <w:tr w:rsidR="001A7C03">
        <w:tc>
          <w:tcPr>
            <w:tcW w:w="8069" w:type="dxa"/>
          </w:tcPr>
          <w:p w:rsidR="001A7C03" w:rsidRDefault="001A7C03">
            <w:pPr>
              <w:spacing w:line="264" w:lineRule="auto"/>
              <w:rPr>
                <w:rFonts w:ascii="Arial" w:hAnsi="Arial" w:cs="Arial"/>
                <w:sz w:val="22"/>
              </w:rPr>
            </w:pPr>
            <w:r>
              <w:rPr>
                <w:rFonts w:ascii="Arial" w:hAnsi="Arial" w:cs="Arial"/>
                <w:b/>
                <w:bCs/>
                <w:i/>
                <w:iCs/>
                <w:sz w:val="22"/>
              </w:rPr>
              <w:t>Records Retention &amp; Management</w:t>
            </w:r>
          </w:p>
        </w:tc>
        <w:tc>
          <w:tcPr>
            <w:tcW w:w="684" w:type="dxa"/>
          </w:tcPr>
          <w:p w:rsidR="001A7C03" w:rsidRDefault="001A7C03">
            <w:pPr>
              <w:spacing w:line="264" w:lineRule="auto"/>
              <w:jc w:val="center"/>
              <w:rPr>
                <w:rFonts w:ascii="Arial" w:hAnsi="Arial" w:cs="Arial"/>
                <w:sz w:val="20"/>
              </w:rPr>
            </w:pPr>
            <w:r>
              <w:rPr>
                <w:rFonts w:ascii="Arial" w:hAnsi="Arial" w:cs="Arial"/>
                <w:sz w:val="20"/>
              </w:rPr>
              <w:t>Yes</w:t>
            </w:r>
          </w:p>
        </w:tc>
        <w:tc>
          <w:tcPr>
            <w:tcW w:w="657" w:type="dxa"/>
          </w:tcPr>
          <w:p w:rsidR="001A7C03" w:rsidRDefault="001A7C03">
            <w:pPr>
              <w:spacing w:line="264" w:lineRule="auto"/>
              <w:jc w:val="center"/>
              <w:rPr>
                <w:rFonts w:ascii="Arial" w:hAnsi="Arial" w:cs="Arial"/>
                <w:sz w:val="20"/>
              </w:rPr>
            </w:pPr>
            <w:r>
              <w:rPr>
                <w:rFonts w:ascii="Arial" w:hAnsi="Arial" w:cs="Arial"/>
                <w:sz w:val="20"/>
              </w:rPr>
              <w:t>No</w:t>
            </w:r>
          </w:p>
        </w:tc>
        <w:tc>
          <w:tcPr>
            <w:tcW w:w="678"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9"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2"/>
              </w:rPr>
              <w:t>We have a written, mandatory record retention and destruction policy.</w:t>
            </w:r>
            <w:r>
              <w:rPr>
                <w:rFonts w:ascii="Arial" w:hAnsi="Arial" w:cs="Arial"/>
                <w:sz w:val="20"/>
                <w:szCs w:val="23"/>
                <w:vertAlign w:val="superscript"/>
              </w:rPr>
              <w:t>2</w:t>
            </w:r>
            <w:r>
              <w:rPr>
                <w:rFonts w:ascii="Arial" w:hAnsi="Arial" w:cs="Arial"/>
                <w:sz w:val="20"/>
                <w:szCs w:val="22"/>
              </w:rPr>
              <w:t xml:space="preserve">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7"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8"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9" w:type="dxa"/>
          </w:tcPr>
          <w:p w:rsidR="001A7C03" w:rsidRDefault="001A7C03">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r>
            <w:r>
              <w:rPr>
                <w:rFonts w:ascii="Arial" w:hAnsi="Arial" w:cs="Arial"/>
                <w:sz w:val="20"/>
                <w:szCs w:val="23"/>
              </w:rPr>
              <w:t xml:space="preserve">For any grants we make to an individual for travel, study or similar purposes, we retain the following information on these grants for four years after completion of the use of funds: </w:t>
            </w:r>
          </w:p>
          <w:p w:rsidR="001A7C03" w:rsidRDefault="001A7C03">
            <w:pPr>
              <w:numPr>
                <w:ilvl w:val="0"/>
                <w:numId w:val="8"/>
              </w:numPr>
              <w:tabs>
                <w:tab w:val="left" w:pos="216"/>
              </w:tabs>
              <w:spacing w:before="60"/>
              <w:ind w:hanging="216"/>
              <w:rPr>
                <w:rFonts w:ascii="Arial" w:hAnsi="Arial" w:cs="Arial"/>
                <w:sz w:val="20"/>
                <w:szCs w:val="23"/>
              </w:rPr>
            </w:pPr>
            <w:r>
              <w:rPr>
                <w:rFonts w:ascii="Arial" w:hAnsi="Arial" w:cs="Arial"/>
                <w:sz w:val="20"/>
                <w:szCs w:val="23"/>
              </w:rPr>
              <w:t>All information we secured to evaluate the qualifications of potential grantees.</w:t>
            </w:r>
          </w:p>
          <w:p w:rsidR="001A7C03" w:rsidRDefault="001A7C03">
            <w:pPr>
              <w:numPr>
                <w:ilvl w:val="0"/>
                <w:numId w:val="8"/>
              </w:numPr>
              <w:tabs>
                <w:tab w:val="left" w:pos="216"/>
              </w:tabs>
              <w:spacing w:before="60"/>
              <w:ind w:hanging="216"/>
              <w:rPr>
                <w:rFonts w:ascii="Arial" w:hAnsi="Arial" w:cs="Arial"/>
                <w:sz w:val="20"/>
                <w:szCs w:val="23"/>
              </w:rPr>
            </w:pPr>
            <w:r>
              <w:rPr>
                <w:rFonts w:ascii="Arial" w:hAnsi="Arial" w:cs="Arial"/>
                <w:sz w:val="20"/>
                <w:szCs w:val="23"/>
              </w:rPr>
              <w:t>Identification of grantees (including whether grantee is a disqualified person).</w:t>
            </w:r>
          </w:p>
          <w:p w:rsidR="001A7C03" w:rsidRDefault="001A7C03">
            <w:pPr>
              <w:numPr>
                <w:ilvl w:val="0"/>
                <w:numId w:val="8"/>
              </w:numPr>
              <w:tabs>
                <w:tab w:val="left" w:pos="216"/>
              </w:tabs>
              <w:spacing w:before="60"/>
              <w:ind w:hanging="216"/>
              <w:rPr>
                <w:rFonts w:ascii="Arial" w:hAnsi="Arial" w:cs="Arial"/>
                <w:sz w:val="20"/>
                <w:szCs w:val="23"/>
              </w:rPr>
            </w:pPr>
            <w:r>
              <w:rPr>
                <w:rFonts w:ascii="Arial" w:hAnsi="Arial" w:cs="Arial"/>
                <w:sz w:val="20"/>
                <w:szCs w:val="23"/>
              </w:rPr>
              <w:t>Specification of the amount and purpose of each grant.</w:t>
            </w:r>
          </w:p>
          <w:p w:rsidR="001A7C03" w:rsidRDefault="001A7C03">
            <w:pPr>
              <w:numPr>
                <w:ilvl w:val="0"/>
                <w:numId w:val="8"/>
              </w:numPr>
              <w:tabs>
                <w:tab w:val="left" w:pos="216"/>
              </w:tabs>
              <w:spacing w:before="60"/>
              <w:ind w:hanging="216"/>
              <w:rPr>
                <w:rFonts w:ascii="Arial" w:hAnsi="Arial" w:cs="Arial"/>
                <w:sz w:val="20"/>
              </w:rPr>
            </w:pPr>
            <w:r>
              <w:rPr>
                <w:rFonts w:ascii="Arial" w:hAnsi="Arial" w:cs="Arial"/>
                <w:sz w:val="20"/>
                <w:szCs w:val="23"/>
              </w:rPr>
              <w:t>Follow-up information that we obtained in complying with these record retention requirements.</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7"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8"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tabs>
          <w:tab w:val="left" w:pos="144"/>
        </w:tabs>
        <w:ind w:left="144" w:hanging="144"/>
        <w:rPr>
          <w:rFonts w:ascii="Arial" w:hAnsi="Arial" w:cs="Arial"/>
          <w:sz w:val="18"/>
        </w:rPr>
      </w:pPr>
      <w:r>
        <w:rPr>
          <w:rFonts w:ascii="Arial" w:hAnsi="Arial" w:cs="Arial"/>
          <w:sz w:val="20"/>
          <w:szCs w:val="23"/>
          <w:vertAlign w:val="superscript"/>
        </w:rPr>
        <w:t>2</w:t>
      </w:r>
      <w:r>
        <w:rPr>
          <w:rFonts w:ascii="Arial" w:hAnsi="Arial" w:cs="Arial"/>
          <w:sz w:val="20"/>
          <w:szCs w:val="23"/>
          <w:vertAlign w:val="superscript"/>
        </w:rPr>
        <w:tab/>
      </w:r>
      <w:r>
        <w:rPr>
          <w:rFonts w:ascii="Arial" w:hAnsi="Arial" w:cs="Arial"/>
          <w:sz w:val="18"/>
          <w:szCs w:val="23"/>
        </w:rPr>
        <w:t xml:space="preserve">The law </w:t>
      </w:r>
      <w:r>
        <w:rPr>
          <w:rFonts w:ascii="Arial" w:hAnsi="Arial" w:cs="Arial"/>
          <w:sz w:val="18"/>
        </w:rPr>
        <w:t xml:space="preserve">does not require a private foundation to have a </w:t>
      </w:r>
      <w:r>
        <w:rPr>
          <w:rFonts w:ascii="Arial" w:hAnsi="Arial" w:cs="Arial"/>
          <w:sz w:val="18"/>
          <w:szCs w:val="22"/>
        </w:rPr>
        <w:t xml:space="preserve">record retention and destruction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destroying documents.  And there are growing calls from federal and state regulators to mandate Sarbanes-Oxley-type reforms for charities.</w:t>
      </w:r>
    </w:p>
    <w:p w:rsidR="001A7C03" w:rsidRDefault="001A7C03">
      <w:pPr>
        <w:rPr>
          <w:rFonts w:ascii="Arial" w:hAnsi="Arial" w:cs="Arial"/>
          <w:sz w:val="20"/>
        </w:rPr>
      </w:pPr>
    </w:p>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general records are retained for 7 years, unless some other period of time has been determined by our attorneys to be reasonable to ensure that the information in the records is available as long as it may become material in the administration of any law.</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All our grant decisions are clearly recorded and appropriately stored.</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A computer expert has reviewed and verified that our computer and network security is adequate to protect our information and assets.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br w:type="page"/>
      </w:r>
      <w:r>
        <w:rPr>
          <w:rFonts w:ascii="Arial" w:hAnsi="Arial" w:cs="Arial"/>
          <w:b/>
          <w:bCs/>
        </w:rPr>
        <w:lastRenderedPageBreak/>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actively seek a diverse range of candidates when selecting consultants, investment managers, legal counsel, auditing firms and other vendors.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systems in place that allow us to easily track the grant history and application history of grantees and grant applicants.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spacing w:line="264" w:lineRule="auto"/>
        <w:rPr>
          <w:rFonts w:ascii="Arial" w:hAnsi="Arial" w:cs="Arial"/>
          <w:sz w:val="20"/>
        </w:rPr>
      </w:pPr>
    </w:p>
    <w:sectPr w:rsidR="001A7C03">
      <w:head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0C" w:rsidRDefault="005C2A0C">
      <w:r>
        <w:separator/>
      </w:r>
    </w:p>
  </w:endnote>
  <w:endnote w:type="continuationSeparator" w:id="0">
    <w:p w:rsidR="005C2A0C" w:rsidRDefault="005C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7" w:rsidRDefault="00A7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7" w:rsidRPr="005A1A96" w:rsidRDefault="00A75167" w:rsidP="005A1A96">
    <w:pPr>
      <w:pStyle w:val="Footer"/>
      <w:tabs>
        <w:tab w:val="clear" w:pos="8640"/>
        <w:tab w:val="right" w:pos="10080"/>
      </w:tabs>
      <w:ind w:right="360"/>
      <w:rPr>
        <w:rFonts w:ascii="Arial" w:hAnsi="Arial" w:cs="Arial"/>
        <w:sz w:val="16"/>
        <w:szCs w:val="16"/>
      </w:rPr>
    </w:pPr>
    <w:smartTag w:uri="urn:schemas-microsoft-com:office:smarttags" w:element="State">
      <w:smartTag w:uri="urn:schemas-microsoft-com:office:smarttags" w:element="plac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r>
      <w:tab/>
    </w:r>
    <w:r w:rsidRPr="003F5B81">
      <w:rPr>
        <w:rStyle w:val="PageNumber"/>
        <w:rFonts w:ascii="Arial" w:hAnsi="Arial" w:cs="Arial"/>
        <w:sz w:val="16"/>
        <w:szCs w:val="16"/>
      </w:rPr>
      <w:fldChar w:fldCharType="begin"/>
    </w:r>
    <w:r w:rsidRPr="003F5B81">
      <w:rPr>
        <w:rStyle w:val="PageNumber"/>
        <w:rFonts w:ascii="Arial" w:hAnsi="Arial" w:cs="Arial"/>
        <w:sz w:val="16"/>
        <w:szCs w:val="16"/>
      </w:rPr>
      <w:instrText xml:space="preserve"> PAGE </w:instrText>
    </w:r>
    <w:r w:rsidRPr="003F5B81">
      <w:rPr>
        <w:rStyle w:val="PageNumber"/>
        <w:rFonts w:ascii="Arial" w:hAnsi="Arial" w:cs="Arial"/>
        <w:sz w:val="16"/>
        <w:szCs w:val="16"/>
      </w:rPr>
      <w:fldChar w:fldCharType="separate"/>
    </w:r>
    <w:r w:rsidR="00EE3B50">
      <w:rPr>
        <w:rStyle w:val="PageNumber"/>
        <w:rFonts w:ascii="Arial" w:hAnsi="Arial" w:cs="Arial"/>
        <w:noProof/>
        <w:sz w:val="16"/>
        <w:szCs w:val="16"/>
      </w:rPr>
      <w:t>3</w:t>
    </w:r>
    <w:r w:rsidRPr="003F5B8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7" w:rsidRDefault="00A75167" w:rsidP="00220142">
    <w:pPr>
      <w:rPr>
        <w:rFonts w:ascii="Arial" w:hAnsi="Arial" w:cs="Arial"/>
        <w:b/>
        <w:bCs/>
        <w:color w:val="auto"/>
        <w:sz w:val="18"/>
      </w:rPr>
    </w:pPr>
    <w:r>
      <w:rPr>
        <w:rFonts w:ascii="Arial" w:hAnsi="Arial" w:cs="Arial"/>
        <w:b/>
        <w:bCs/>
        <w:color w:val="auto"/>
        <w:sz w:val="18"/>
      </w:rPr>
      <w:t>Acknowledgements</w:t>
    </w:r>
  </w:p>
  <w:p w:rsidR="00A75167" w:rsidRDefault="00A75167" w:rsidP="00220142">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A75167" w:rsidRDefault="00A75167" w:rsidP="00220142">
    <w:pPr>
      <w:rPr>
        <w:rFonts w:ascii="Arial" w:hAnsi="Arial" w:cs="Arial"/>
        <w:sz w:val="18"/>
      </w:rPr>
    </w:pPr>
  </w:p>
  <w:p w:rsidR="00A75167" w:rsidRDefault="00A75167" w:rsidP="00220142">
    <w:pPr>
      <w:rPr>
        <w:rFonts w:ascii="Arial" w:hAnsi="Arial" w:cs="Arial"/>
        <w:b/>
        <w:bCs/>
        <w:color w:val="auto"/>
        <w:sz w:val="18"/>
      </w:rPr>
    </w:pPr>
    <w:r>
      <w:rPr>
        <w:rFonts w:ascii="Arial" w:hAnsi="Arial" w:cs="Arial"/>
        <w:b/>
        <w:bCs/>
        <w:color w:val="auto"/>
        <w:sz w:val="18"/>
      </w:rPr>
      <w:t>Legal Disclaimer</w:t>
    </w:r>
  </w:p>
  <w:p w:rsidR="00A75167" w:rsidRDefault="00A75167" w:rsidP="00220142">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A75167" w:rsidRDefault="00A75167" w:rsidP="00220142">
    <w:pPr>
      <w:rPr>
        <w:rFonts w:ascii="Arial" w:hAnsi="Arial" w:cs="Arial"/>
        <w:sz w:val="18"/>
      </w:rPr>
    </w:pPr>
  </w:p>
  <w:p w:rsidR="00A75167" w:rsidRPr="00220142" w:rsidRDefault="00A75167" w:rsidP="00AB56B5">
    <w:pPr>
      <w:tabs>
        <w:tab w:val="right" w:pos="9900"/>
      </w:tabs>
      <w:rPr>
        <w:rFonts w:ascii="Arial" w:hAnsi="Arial" w:cs="Arial"/>
        <w:sz w:val="18"/>
      </w:rPr>
    </w:pPr>
    <w:r w:rsidRPr="00220142">
      <w:rPr>
        <w:rFonts w:ascii="Arial" w:hAnsi="Arial" w:cs="Arial"/>
        <w:sz w:val="18"/>
      </w:rPr>
      <w:sym w:font="Symbol" w:char="F0E3"/>
    </w:r>
    <w:r w:rsidRPr="00220142">
      <w:rPr>
        <w:rFonts w:ascii="Arial" w:hAnsi="Arial" w:cs="Arial"/>
        <w:sz w:val="18"/>
      </w:rPr>
      <w:t xml:space="preserve"> 2006, Forum of Regional Associations of Grantmakers.</w:t>
    </w:r>
    <w:r w:rsidR="00AB56B5">
      <w:rPr>
        <w:rFonts w:ascii="Arial" w:hAnsi="Arial" w:cs="Arial"/>
        <w:sz w:val="18"/>
      </w:rPr>
      <w:tab/>
    </w:r>
    <w:r w:rsidR="00AB56B5">
      <w:rPr>
        <w:rFonts w:ascii="Arial" w:hAnsi="Arial" w:cs="Arial"/>
        <w:sz w:val="18"/>
        <w:szCs w:val="18"/>
      </w:rPr>
      <w:t>Version 1.1 (Nov.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0C" w:rsidRDefault="005C2A0C">
      <w:r>
        <w:separator/>
      </w:r>
    </w:p>
  </w:footnote>
  <w:footnote w:type="continuationSeparator" w:id="0">
    <w:p w:rsidR="005C2A0C" w:rsidRDefault="005C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7" w:rsidRDefault="00A75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7" w:rsidRDefault="00A75167">
    <w:pPr>
      <w:pStyle w:val="Header"/>
      <w:pBdr>
        <w:bottom w:val="single" w:sz="12" w:space="1" w:color="auto"/>
      </w:pBdr>
      <w:spacing w:after="240"/>
      <w:jc w:val="right"/>
      <w:rPr>
        <w:rFonts w:ascii="Arial" w:hAnsi="Arial" w:cs="Arial"/>
        <w:sz w:val="20"/>
      </w:rPr>
    </w:pPr>
    <w:r>
      <w:rPr>
        <w:rFonts w:ascii="Arial" w:hAnsi="Arial" w:cs="Arial"/>
        <w:sz w:val="20"/>
      </w:rPr>
      <w:t>Administration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7" w:rsidRDefault="00A751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7" w:rsidRDefault="00A751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214E1"/>
    <w:rsid w:val="0005346E"/>
    <w:rsid w:val="000F1BCE"/>
    <w:rsid w:val="00126F61"/>
    <w:rsid w:val="001A6C47"/>
    <w:rsid w:val="001A7C03"/>
    <w:rsid w:val="001B50E9"/>
    <w:rsid w:val="00217F2A"/>
    <w:rsid w:val="00220142"/>
    <w:rsid w:val="002B172E"/>
    <w:rsid w:val="00321202"/>
    <w:rsid w:val="003C7131"/>
    <w:rsid w:val="003D1D19"/>
    <w:rsid w:val="003D782C"/>
    <w:rsid w:val="003E1DCF"/>
    <w:rsid w:val="003E546C"/>
    <w:rsid w:val="003F5B81"/>
    <w:rsid w:val="0040293E"/>
    <w:rsid w:val="00403EA2"/>
    <w:rsid w:val="004163D3"/>
    <w:rsid w:val="0045688F"/>
    <w:rsid w:val="0054710F"/>
    <w:rsid w:val="005A1A96"/>
    <w:rsid w:val="005C2A0C"/>
    <w:rsid w:val="0065793B"/>
    <w:rsid w:val="0086045D"/>
    <w:rsid w:val="008846EA"/>
    <w:rsid w:val="008D0100"/>
    <w:rsid w:val="008E3028"/>
    <w:rsid w:val="008F3F0E"/>
    <w:rsid w:val="00914EE3"/>
    <w:rsid w:val="00A75167"/>
    <w:rsid w:val="00AB56B5"/>
    <w:rsid w:val="00B11E26"/>
    <w:rsid w:val="00B47532"/>
    <w:rsid w:val="00BB70A3"/>
    <w:rsid w:val="00BE06C4"/>
    <w:rsid w:val="00C86147"/>
    <w:rsid w:val="00CC0E50"/>
    <w:rsid w:val="00CD634C"/>
    <w:rsid w:val="00CE229D"/>
    <w:rsid w:val="00CE2660"/>
    <w:rsid w:val="00DA0C76"/>
    <w:rsid w:val="00E36B56"/>
    <w:rsid w:val="00EE3B50"/>
    <w:rsid w:val="00F861BF"/>
    <w:rsid w:val="00FA56F0"/>
    <w:rsid w:val="00FA5F75"/>
    <w:rsid w:val="00F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5EB41F1-6DC7-48E1-9C92-83022739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2006-10-25T19:27:00Z</cp:lastPrinted>
  <dcterms:created xsi:type="dcterms:W3CDTF">2020-06-03T15:42:00Z</dcterms:created>
  <dcterms:modified xsi:type="dcterms:W3CDTF">2020-06-03T15:42:00Z</dcterms:modified>
</cp:coreProperties>
</file>