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B557D8"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B557D8"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E3111D" w:rsidRDefault="00E3111D"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E3111D" w:rsidP="003E1DCF">
      <w:pPr>
        <w:jc w:val="center"/>
        <w:rPr>
          <w:rFonts w:ascii="Arial" w:hAnsi="Arial" w:cs="Arial"/>
          <w:sz w:val="20"/>
        </w:rPr>
      </w:pPr>
      <w:r>
        <w:rPr>
          <w:rFonts w:ascii="Arial" w:hAnsi="Arial" w:cs="Arial"/>
          <w:b/>
          <w:bCs/>
          <w:sz w:val="28"/>
        </w:rPr>
        <w:t>FINANCE</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E3111D">
        <w:rPr>
          <w:rFonts w:ascii="Arial" w:hAnsi="Arial" w:cs="Arial"/>
          <w:sz w:val="20"/>
        </w:rPr>
        <w:t>Finance</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Finance</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financial management, spending and investment of its funds.  </w:t>
      </w: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1A7C03">
        <w:tc>
          <w:tcPr>
            <w:tcW w:w="8065" w:type="dxa"/>
          </w:tcPr>
          <w:p w:rsidR="001A7C03" w:rsidRDefault="001A7C03">
            <w:pPr>
              <w:spacing w:line="264" w:lineRule="auto"/>
              <w:rPr>
                <w:rFonts w:ascii="Arial" w:hAnsi="Arial" w:cs="Arial"/>
                <w:sz w:val="22"/>
              </w:rPr>
            </w:pPr>
            <w:r>
              <w:rPr>
                <w:rFonts w:ascii="Arial" w:hAnsi="Arial" w:cs="Arial"/>
                <w:b/>
                <w:bCs/>
                <w:i/>
                <w:iCs/>
                <w:sz w:val="22"/>
              </w:rPr>
              <w:t>Investments</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diversification of assets, appropriate performance benchmarks, and the importance of a portfolio's total return on investment.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5" w:type="dxa"/>
          </w:tcPr>
          <w:p w:rsidR="001A7C03" w:rsidRDefault="001A7C03">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1A7C03">
        <w:tc>
          <w:tcPr>
            <w:tcW w:w="8063" w:type="dxa"/>
          </w:tcPr>
          <w:p w:rsidR="001A7C03" w:rsidRDefault="001A7C03">
            <w:pPr>
              <w:spacing w:line="264" w:lineRule="auto"/>
              <w:rPr>
                <w:rFonts w:ascii="Arial" w:hAnsi="Arial" w:cs="Arial"/>
                <w:sz w:val="22"/>
              </w:rPr>
            </w:pPr>
            <w:r>
              <w:rPr>
                <w:rFonts w:ascii="Arial" w:hAnsi="Arial" w:cs="Arial"/>
                <w:b/>
                <w:bCs/>
                <w:i/>
                <w:iCs/>
                <w:sz w:val="22"/>
              </w:rPr>
              <w:t>Taxes</w:t>
            </w:r>
          </w:p>
        </w:tc>
        <w:tc>
          <w:tcPr>
            <w:tcW w:w="686" w:type="dxa"/>
          </w:tcPr>
          <w:p w:rsidR="001A7C03" w:rsidRDefault="001A7C03">
            <w:pPr>
              <w:spacing w:line="264" w:lineRule="auto"/>
              <w:jc w:val="center"/>
              <w:rPr>
                <w:rFonts w:ascii="Arial" w:hAnsi="Arial" w:cs="Arial"/>
                <w:sz w:val="20"/>
              </w:rPr>
            </w:pPr>
            <w:r>
              <w:rPr>
                <w:rFonts w:ascii="Arial" w:hAnsi="Arial" w:cs="Arial"/>
                <w:sz w:val="20"/>
              </w:rPr>
              <w:t>Yes</w:t>
            </w:r>
          </w:p>
        </w:tc>
        <w:tc>
          <w:tcPr>
            <w:tcW w:w="659"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3" w:type="dxa"/>
          </w:tcPr>
          <w:p w:rsidR="001A7C03" w:rsidRDefault="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3" w:type="dxa"/>
          </w:tcPr>
          <w:p w:rsidR="001A7C03" w:rsidRDefault="001A7C03">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F861BF">
        <w:tc>
          <w:tcPr>
            <w:tcW w:w="8063" w:type="dxa"/>
          </w:tcPr>
          <w:p w:rsidR="00F861BF" w:rsidRDefault="00F861BF" w:rsidP="001A7C03">
            <w:pPr>
              <w:spacing w:line="264" w:lineRule="auto"/>
              <w:rPr>
                <w:rFonts w:ascii="Arial" w:hAnsi="Arial" w:cs="Arial"/>
                <w:sz w:val="22"/>
              </w:rPr>
            </w:pPr>
            <w:r>
              <w:rPr>
                <w:rFonts w:ascii="Arial" w:hAnsi="Arial" w:cs="Arial"/>
                <w:b/>
                <w:bCs/>
                <w:i/>
                <w:iCs/>
                <w:sz w:val="22"/>
              </w:rPr>
              <w:t>Expenditures</w:t>
            </w:r>
          </w:p>
        </w:tc>
        <w:tc>
          <w:tcPr>
            <w:tcW w:w="686" w:type="dxa"/>
          </w:tcPr>
          <w:p w:rsidR="00F861BF" w:rsidRDefault="00F861BF" w:rsidP="001A7C03">
            <w:pPr>
              <w:spacing w:line="264" w:lineRule="auto"/>
              <w:jc w:val="center"/>
              <w:rPr>
                <w:rFonts w:ascii="Arial" w:hAnsi="Arial" w:cs="Arial"/>
                <w:sz w:val="20"/>
              </w:rPr>
            </w:pPr>
            <w:r>
              <w:rPr>
                <w:rFonts w:ascii="Arial" w:hAnsi="Arial" w:cs="Arial"/>
                <w:sz w:val="20"/>
              </w:rPr>
              <w:t>Yes</w:t>
            </w:r>
          </w:p>
        </w:tc>
        <w:tc>
          <w:tcPr>
            <w:tcW w:w="659" w:type="dxa"/>
          </w:tcPr>
          <w:p w:rsidR="00F861BF" w:rsidRDefault="00F861BF" w:rsidP="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F861BF" w:rsidRDefault="00F861BF" w:rsidP="001A7C03">
            <w:pPr>
              <w:spacing w:line="264" w:lineRule="auto"/>
              <w:jc w:val="center"/>
              <w:rPr>
                <w:rFonts w:ascii="Arial" w:hAnsi="Arial" w:cs="Arial"/>
                <w:sz w:val="20"/>
              </w:rPr>
            </w:pPr>
            <w:r>
              <w:rPr>
                <w:rFonts w:ascii="Arial" w:hAnsi="Arial" w:cs="Arial"/>
                <w:sz w:val="20"/>
              </w:rPr>
              <w:t>NA</w:t>
            </w:r>
          </w:p>
        </w:tc>
      </w:tr>
      <w:tr w:rsidR="00F861BF">
        <w:tc>
          <w:tcPr>
            <w:tcW w:w="8063" w:type="dxa"/>
          </w:tcPr>
          <w:p w:rsidR="00F861BF" w:rsidRDefault="00F861BF" w:rsidP="001A7C03">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F861BF">
        <w:tc>
          <w:tcPr>
            <w:tcW w:w="8063" w:type="dxa"/>
          </w:tcPr>
          <w:p w:rsidR="00F861BF" w:rsidRDefault="00F861BF" w:rsidP="001A7C03">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F861BF" w:rsidRDefault="00F861BF" w:rsidP="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FC226E" w:rsidRDefault="00FC226E">
      <w:pPr>
        <w:rPr>
          <w:rFonts w:ascii="Arial" w:hAnsi="Arial" w:cs="Arial"/>
          <w:sz w:val="20"/>
        </w:rPr>
      </w:pPr>
    </w:p>
    <w:p w:rsidR="001A7C03" w:rsidRDefault="001A7C03">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Investments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pay a family member or any other disqualified person to manage our investments.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in place a sound, effective written investment policy, approved by the board, to guide our investing activities regarding the balance between risk and return in the context of our investment goals, adequate for our size and complexity.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3D1D19" w:rsidRPr="003D1D19" w:rsidRDefault="003D1D19">
      <w:pPr>
        <w:rPr>
          <w:rFonts w:ascii="Arial" w:hAnsi="Arial"/>
          <w:sz w:val="14"/>
          <w:szCs w:val="14"/>
        </w:rPr>
      </w:pPr>
      <w:r>
        <w:br w:type="page"/>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3D1D19">
        <w:tblPrEx>
          <w:tblCellMar>
            <w:top w:w="0" w:type="dxa"/>
            <w:bottom w:w="0" w:type="dxa"/>
          </w:tblCellMar>
        </w:tblPrEx>
        <w:tc>
          <w:tcPr>
            <w:tcW w:w="6244" w:type="dxa"/>
            <w:tcMar>
              <w:top w:w="101" w:type="dxa"/>
              <w:left w:w="0" w:type="dxa"/>
              <w:bottom w:w="101" w:type="dxa"/>
              <w:right w:w="0" w:type="dxa"/>
            </w:tcMar>
          </w:tcPr>
          <w:p w:rsidR="003D1D19" w:rsidRDefault="003D1D19">
            <w:pPr>
              <w:tabs>
                <w:tab w:val="left" w:pos="288"/>
              </w:tabs>
              <w:ind w:left="288" w:hanging="288"/>
              <w:rPr>
                <w:rFonts w:ascii="Arial" w:hAnsi="Arial" w:cs="Arial"/>
                <w:sz w:val="20"/>
              </w:rPr>
            </w:pPr>
          </w:p>
        </w:tc>
        <w:tc>
          <w:tcPr>
            <w:tcW w:w="716" w:type="dxa"/>
          </w:tcPr>
          <w:p w:rsidR="003D1D19" w:rsidRDefault="003D1D19" w:rsidP="001A7C03">
            <w:pPr>
              <w:jc w:val="center"/>
              <w:rPr>
                <w:rFonts w:ascii="Arial" w:hAnsi="Arial" w:cs="Arial"/>
                <w:sz w:val="20"/>
              </w:rPr>
            </w:pPr>
            <w:r>
              <w:rPr>
                <w:rFonts w:ascii="Arial" w:hAnsi="Arial" w:cs="Arial"/>
                <w:sz w:val="20"/>
              </w:rPr>
              <w:t>True</w:t>
            </w:r>
          </w:p>
        </w:tc>
        <w:tc>
          <w:tcPr>
            <w:tcW w:w="794" w:type="dxa"/>
          </w:tcPr>
          <w:p w:rsidR="003D1D19" w:rsidRDefault="003D1D19" w:rsidP="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3D1D19" w:rsidRDefault="003D1D19" w:rsidP="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3D1D19" w:rsidRDefault="003D1D19" w:rsidP="001A7C03">
            <w:pPr>
              <w:jc w:val="center"/>
              <w:rPr>
                <w:rFonts w:ascii="Arial" w:hAnsi="Arial" w:cs="Arial"/>
                <w:sz w:val="20"/>
              </w:rPr>
            </w:pPr>
            <w:r>
              <w:rPr>
                <w:rFonts w:ascii="Arial" w:hAnsi="Arial" w:cs="Arial"/>
                <w:sz w:val="20"/>
              </w:rPr>
              <w:t>Never True</w:t>
            </w:r>
          </w:p>
        </w:tc>
        <w:tc>
          <w:tcPr>
            <w:tcW w:w="770" w:type="dxa"/>
          </w:tcPr>
          <w:p w:rsidR="003D1D19" w:rsidRDefault="003D1D19" w:rsidP="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review and update our investment policy regularly.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regularly monitor our compliance with our investment policy.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clearly communicate our investment policy to our investment managers.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make available to the public upon request the names of our investment managers, fees charged, and the governing body or appointees responsible for investment oversight and activity.</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Pr="00DA0C76"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Expenditures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take steps to ensure that our administrative expenses (including travel expenses) are in proportion to amounts spent by organizations of similar size and with similar funding strategies.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ensure that our annual spending policy for grants and administration reflect the original intent of the founding donor(s).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Financial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color w:val="auto"/>
                <w:sz w:val="20"/>
              </w:rPr>
              <w:t>We have developed and adhere to written financial man</w:t>
            </w:r>
            <w:r w:rsidR="00FA5F75">
              <w:rPr>
                <w:rFonts w:ascii="Arial" w:hAnsi="Arial" w:cs="Arial"/>
                <w:color w:val="auto"/>
                <w:sz w:val="20"/>
              </w:rPr>
              <w:t xml:space="preserve">agement policies and procedures — </w:t>
            </w:r>
            <w:r>
              <w:rPr>
                <w:rFonts w:ascii="Arial" w:hAnsi="Arial" w:cs="Arial"/>
                <w:color w:val="auto"/>
                <w:sz w:val="20"/>
              </w:rPr>
              <w:t>adequate for our size, n</w:t>
            </w:r>
            <w:r w:rsidR="00FA5F75">
              <w:rPr>
                <w:rFonts w:ascii="Arial" w:hAnsi="Arial" w:cs="Arial"/>
                <w:color w:val="auto"/>
                <w:sz w:val="20"/>
              </w:rPr>
              <w:t xml:space="preserve">ature, complexity and mission — </w:t>
            </w:r>
            <w:r>
              <w:rPr>
                <w:rFonts w:ascii="Arial" w:hAnsi="Arial" w:cs="Arial"/>
                <w:color w:val="auto"/>
                <w:sz w:val="20"/>
              </w:rPr>
              <w:t>concerning administrative expenditures (including travel expenses), internal financial controls and purchasing.</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includes individuals with financial literacy or has adopted other mechanisms for drawing on independent financial expertise.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Audits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conduct an independent audit or financial review as follows:</w:t>
            </w:r>
          </w:p>
          <w:p w:rsidR="001A7C03" w:rsidRDefault="001A7C03">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$1 million or more, we conduct an annual audit of our financial statements and operations. </w:t>
            </w:r>
          </w:p>
          <w:p w:rsidR="001A7C03" w:rsidRDefault="001A7C03">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If o</w:t>
            </w:r>
            <w:r w:rsidR="00FA5F75">
              <w:rPr>
                <w:rFonts w:ascii="Arial" w:hAnsi="Arial" w:cs="Arial"/>
                <w:sz w:val="20"/>
              </w:rPr>
              <w:t xml:space="preserve">ur annual revenue is $250,000 - </w:t>
            </w:r>
            <w:r>
              <w:rPr>
                <w:rFonts w:ascii="Arial" w:hAnsi="Arial" w:cs="Arial"/>
                <w:sz w:val="20"/>
              </w:rPr>
              <w:t xml:space="preserve">$1 million, we conduct an audit of our financial statements and operations OR have our financial statements reviewed by an independent public accountant. </w:t>
            </w:r>
          </w:p>
          <w:p w:rsidR="001A7C03" w:rsidRDefault="001A7C03">
            <w:pPr>
              <w:numPr>
                <w:ilvl w:val="0"/>
                <w:numId w:val="3"/>
              </w:numPr>
              <w:tabs>
                <w:tab w:val="clear" w:pos="504"/>
                <w:tab w:val="left" w:pos="216"/>
              </w:tabs>
              <w:spacing w:before="60"/>
              <w:ind w:hanging="216"/>
              <w:rPr>
                <w:rFonts w:ascii="Arial" w:hAnsi="Arial" w:cs="Arial"/>
                <w:sz w:val="20"/>
              </w:rPr>
            </w:pPr>
            <w:r>
              <w:rPr>
                <w:rFonts w:ascii="Arial" w:hAnsi="Arial" w:cs="Arial"/>
                <w:sz w:val="20"/>
              </w:rPr>
              <w:t>If our annual revenue is less than $250,000, we obtain a periodic review of our financial statements or engage in other means of independently verifying our financial statements and controls.</w:t>
            </w:r>
          </w:p>
          <w:p w:rsidR="001A7C03" w:rsidRDefault="001A7C03">
            <w:pPr>
              <w:tabs>
                <w:tab w:val="left" w:pos="216"/>
              </w:tabs>
              <w:spacing w:before="60"/>
              <w:ind w:left="288"/>
              <w:rPr>
                <w:rFonts w:ascii="Arial" w:hAnsi="Arial" w:cs="Arial"/>
                <w:sz w:val="20"/>
              </w:rPr>
            </w:pPr>
            <w:r>
              <w:rPr>
                <w:rFonts w:ascii="Arial" w:hAnsi="Arial" w:cs="Arial"/>
                <w:sz w:val="20"/>
              </w:rPr>
              <w:lastRenderedPageBreak/>
              <w:t>(Note: If your foundation conducts a regular independent audit, please consult the audit section (under Finance) in the accountability self-assessment tool for staffed private foundations.)</w:t>
            </w:r>
          </w:p>
        </w:tc>
        <w:tc>
          <w:tcPr>
            <w:tcW w:w="716" w:type="dxa"/>
          </w:tcPr>
          <w:p w:rsidR="001A7C03" w:rsidRDefault="001A7C03">
            <w:pPr>
              <w:jc w:val="center"/>
              <w:rPr>
                <w:rFonts w:ascii="Arial" w:hAnsi="Arial" w:cs="Arial"/>
                <w:sz w:val="20"/>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p w:rsidR="00C86147" w:rsidRDefault="00C86147">
      <w:pPr>
        <w:rPr>
          <w:rFonts w:ascii="Arial" w:hAnsi="Arial" w:cs="Arial"/>
          <w:sz w:val="20"/>
        </w:rPr>
      </w:pPr>
    </w:p>
    <w:p w:rsidR="00C86147" w:rsidRDefault="00C86147">
      <w:pPr>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Investments</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board-led investment committee that recommends investment policies and guidelines to protect our investment assets; develops an investment strategy; and continuously monitors our investment portfolio.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description of the roles and responsibilities of our investment committee.</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 system and procedures in place to allow the foundation to act quickly, between board meetings, in cases where individual stocks or classes of stocks experience rapid shifts in price and action may be needed either to rebalance the portfolio or take other more radical action.</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In making investment decisions, our board considers the extent to which the values and principles that guide our grantmaking also inform our investment policies and decisions.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sz w:val="22"/>
              </w:rPr>
            </w:pPr>
            <w:r>
              <w:rPr>
                <w:rFonts w:ascii="Arial" w:hAnsi="Arial" w:cs="Arial"/>
                <w:b/>
                <w:bCs/>
                <w:i/>
                <w:iCs/>
                <w:sz w:val="22"/>
              </w:rPr>
              <w:t>Financial Management</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ensure that an adequate amount is kept in cash or some other easily converted investment for annual (or more frequent) grant payments and other expenses.  </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annual budgeting process, including the board’s approval of the budget.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regularly monitor and assess financial performance and expenditures relative to the approved budget.</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regular financial reports addressing any differences between actual and budgeted revenues and expenses.</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rsidP="003B67F9">
      <w:pPr>
        <w:spacing w:before="120" w:line="264" w:lineRule="auto"/>
      </w:pPr>
    </w:p>
    <w:sectPr w:rsidR="001A7C03" w:rsidSect="003B67F9">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9B" w:rsidRDefault="007C009B">
      <w:r>
        <w:separator/>
      </w:r>
    </w:p>
  </w:endnote>
  <w:endnote w:type="continuationSeparator" w:id="0">
    <w:p w:rsidR="007C009B" w:rsidRDefault="007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3B6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7F9" w:rsidRDefault="003B6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Pr="008D0100" w:rsidRDefault="003B67F9">
    <w:pPr>
      <w:pStyle w:val="Footer"/>
      <w:framePr w:wrap="around" w:vAnchor="text" w:hAnchor="margin" w:xAlign="right" w:y="1"/>
      <w:rPr>
        <w:rStyle w:val="PageNumber"/>
        <w:rFonts w:ascii="Arial" w:hAnsi="Arial" w:cs="Arial"/>
        <w:sz w:val="16"/>
        <w:szCs w:val="16"/>
      </w:rPr>
    </w:pPr>
    <w:r w:rsidRPr="008D0100">
      <w:rPr>
        <w:rStyle w:val="PageNumber"/>
        <w:rFonts w:ascii="Arial" w:hAnsi="Arial" w:cs="Arial"/>
        <w:sz w:val="16"/>
        <w:szCs w:val="16"/>
      </w:rPr>
      <w:fldChar w:fldCharType="begin"/>
    </w:r>
    <w:r w:rsidRPr="008D0100">
      <w:rPr>
        <w:rStyle w:val="PageNumber"/>
        <w:rFonts w:ascii="Arial" w:hAnsi="Arial" w:cs="Arial"/>
        <w:sz w:val="16"/>
        <w:szCs w:val="16"/>
      </w:rPr>
      <w:instrText xml:space="preserve">PAGE  </w:instrText>
    </w:r>
    <w:r w:rsidRPr="008D0100">
      <w:rPr>
        <w:rStyle w:val="PageNumber"/>
        <w:rFonts w:ascii="Arial" w:hAnsi="Arial" w:cs="Arial"/>
        <w:sz w:val="16"/>
        <w:szCs w:val="16"/>
      </w:rPr>
      <w:fldChar w:fldCharType="separate"/>
    </w:r>
    <w:r w:rsidR="00B557D8">
      <w:rPr>
        <w:rStyle w:val="PageNumber"/>
        <w:rFonts w:ascii="Arial" w:hAnsi="Arial" w:cs="Arial"/>
        <w:noProof/>
        <w:sz w:val="16"/>
        <w:szCs w:val="16"/>
      </w:rPr>
      <w:t>4</w:t>
    </w:r>
    <w:r w:rsidRPr="008D0100">
      <w:rPr>
        <w:rStyle w:val="PageNumber"/>
        <w:rFonts w:ascii="Arial" w:hAnsi="Arial" w:cs="Arial"/>
        <w:sz w:val="16"/>
        <w:szCs w:val="16"/>
      </w:rPr>
      <w:fldChar w:fldCharType="end"/>
    </w:r>
  </w:p>
  <w:p w:rsidR="003B67F9" w:rsidRDefault="003B67F9">
    <w:pPr>
      <w:pStyle w:val="Footer"/>
      <w:ind w:right="360"/>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3B67F9" w:rsidP="008D0100">
    <w:pPr>
      <w:rPr>
        <w:rFonts w:ascii="Arial" w:hAnsi="Arial" w:cs="Arial"/>
        <w:b/>
        <w:bCs/>
        <w:color w:val="auto"/>
        <w:sz w:val="18"/>
      </w:rPr>
    </w:pPr>
    <w:r>
      <w:rPr>
        <w:rFonts w:ascii="Arial" w:hAnsi="Arial" w:cs="Arial"/>
        <w:b/>
        <w:bCs/>
        <w:color w:val="auto"/>
        <w:sz w:val="18"/>
      </w:rPr>
      <w:t>Acknowledgements</w:t>
    </w:r>
  </w:p>
  <w:p w:rsidR="003B67F9" w:rsidRDefault="003B67F9" w:rsidP="008D010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3B67F9" w:rsidRDefault="003B67F9" w:rsidP="008D0100">
    <w:pPr>
      <w:rPr>
        <w:rFonts w:ascii="Arial" w:hAnsi="Arial" w:cs="Arial"/>
        <w:sz w:val="18"/>
      </w:rPr>
    </w:pPr>
  </w:p>
  <w:p w:rsidR="003B67F9" w:rsidRDefault="003B67F9" w:rsidP="008D0100">
    <w:pPr>
      <w:rPr>
        <w:rFonts w:ascii="Arial" w:hAnsi="Arial" w:cs="Arial"/>
        <w:b/>
        <w:bCs/>
        <w:color w:val="auto"/>
        <w:sz w:val="18"/>
      </w:rPr>
    </w:pPr>
    <w:r>
      <w:rPr>
        <w:rFonts w:ascii="Arial" w:hAnsi="Arial" w:cs="Arial"/>
        <w:b/>
        <w:bCs/>
        <w:color w:val="auto"/>
        <w:sz w:val="18"/>
      </w:rPr>
      <w:t>Legal Disclaimer</w:t>
    </w:r>
  </w:p>
  <w:p w:rsidR="003B67F9" w:rsidRDefault="003B67F9" w:rsidP="008D010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3B67F9" w:rsidRDefault="003B67F9" w:rsidP="008D0100">
    <w:pPr>
      <w:rPr>
        <w:rFonts w:ascii="Arial" w:hAnsi="Arial" w:cs="Arial"/>
        <w:sz w:val="18"/>
      </w:rPr>
    </w:pPr>
  </w:p>
  <w:p w:rsidR="003B67F9" w:rsidRPr="008D0100" w:rsidRDefault="003B67F9" w:rsidP="002634E7">
    <w:pPr>
      <w:tabs>
        <w:tab w:val="right" w:pos="9900"/>
      </w:tabs>
      <w:rPr>
        <w:rFonts w:ascii="Arial" w:hAnsi="Arial" w:cs="Arial"/>
        <w:sz w:val="18"/>
      </w:rPr>
    </w:pPr>
    <w:r w:rsidRPr="008D0100">
      <w:rPr>
        <w:rFonts w:ascii="Arial" w:hAnsi="Arial" w:cs="Arial"/>
        <w:sz w:val="18"/>
      </w:rPr>
      <w:sym w:font="Symbol" w:char="F0E3"/>
    </w:r>
    <w:r w:rsidRPr="008D0100">
      <w:rPr>
        <w:rFonts w:ascii="Arial" w:hAnsi="Arial" w:cs="Arial"/>
        <w:sz w:val="18"/>
      </w:rPr>
      <w:t xml:space="preserve"> 2006, Forum of Regional Associations of Grantmakers.</w:t>
    </w:r>
    <w:r w:rsidR="002634E7">
      <w:rPr>
        <w:rFonts w:ascii="Arial" w:hAnsi="Arial" w:cs="Arial"/>
        <w:sz w:val="18"/>
      </w:rPr>
      <w:tab/>
    </w:r>
    <w:r w:rsidR="002634E7">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Pr="003B67F9" w:rsidRDefault="003B67F9" w:rsidP="003B67F9">
    <w:pPr>
      <w:pStyle w:val="Footer"/>
      <w:tabs>
        <w:tab w:val="clear" w:pos="8640"/>
        <w:tab w:val="right" w:pos="10080"/>
      </w:tabs>
      <w:ind w:right="360"/>
      <w:rPr>
        <w:rFonts w:ascii="Arial" w:hAnsi="Arial" w:cs="Arial"/>
        <w:sz w:val="16"/>
        <w:szCs w:val="16"/>
      </w:rPr>
    </w:pPr>
    <w:smartTag w:uri="urn:schemas-microsoft-com:office:smarttags" w:element="State">
      <w:smartTag w:uri="urn:schemas-microsoft-com:office:smarttags" w:element="place">
        <w:r w:rsidRPr="003B67F9">
          <w:rPr>
            <w:rFonts w:ascii="Arial" w:hAnsi="Arial" w:cs="Arial"/>
            <w:sz w:val="16"/>
            <w:szCs w:val="16"/>
          </w:rPr>
          <w:t>Connecticut</w:t>
        </w:r>
      </w:smartTag>
    </w:smartTag>
    <w:r w:rsidRPr="003B67F9">
      <w:rPr>
        <w:rFonts w:ascii="Arial" w:hAnsi="Arial" w:cs="Arial"/>
        <w:sz w:val="16"/>
        <w:szCs w:val="16"/>
      </w:rPr>
      <w:t xml:space="preserve"> Council for Philanthropy ▪ Forum of Regional Associations of Grantmakers</w:t>
    </w:r>
    <w:r w:rsidRPr="003B67F9">
      <w:rPr>
        <w:rFonts w:ascii="Arial" w:hAnsi="Arial" w:cs="Arial"/>
        <w:sz w:val="16"/>
        <w:szCs w:val="16"/>
      </w:rPr>
      <w:tab/>
    </w:r>
    <w:r w:rsidRPr="003B67F9">
      <w:rPr>
        <w:rStyle w:val="PageNumber"/>
        <w:rFonts w:ascii="Arial" w:hAnsi="Arial" w:cs="Arial"/>
        <w:sz w:val="16"/>
        <w:szCs w:val="16"/>
      </w:rPr>
      <w:fldChar w:fldCharType="begin"/>
    </w:r>
    <w:r w:rsidRPr="003B67F9">
      <w:rPr>
        <w:rStyle w:val="PageNumber"/>
        <w:rFonts w:ascii="Arial" w:hAnsi="Arial" w:cs="Arial"/>
        <w:sz w:val="16"/>
        <w:szCs w:val="16"/>
      </w:rPr>
      <w:instrText xml:space="preserve"> PAGE </w:instrText>
    </w:r>
    <w:r w:rsidRPr="003B67F9">
      <w:rPr>
        <w:rStyle w:val="PageNumber"/>
        <w:rFonts w:ascii="Arial" w:hAnsi="Arial" w:cs="Arial"/>
        <w:sz w:val="16"/>
        <w:szCs w:val="16"/>
      </w:rPr>
      <w:fldChar w:fldCharType="separate"/>
    </w:r>
    <w:r w:rsidR="00B557D8">
      <w:rPr>
        <w:rStyle w:val="PageNumber"/>
        <w:rFonts w:ascii="Arial" w:hAnsi="Arial" w:cs="Arial"/>
        <w:noProof/>
        <w:sz w:val="16"/>
        <w:szCs w:val="16"/>
      </w:rPr>
      <w:t>2</w:t>
    </w:r>
    <w:r w:rsidRPr="003B67F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9B" w:rsidRDefault="007C009B">
      <w:r>
        <w:separator/>
      </w:r>
    </w:p>
  </w:footnote>
  <w:footnote w:type="continuationSeparator" w:id="0">
    <w:p w:rsidR="007C009B" w:rsidRDefault="007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3B6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7F9" w:rsidRDefault="003B67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457033">
    <w:pPr>
      <w:pStyle w:val="Header"/>
      <w:pBdr>
        <w:bottom w:val="single" w:sz="12" w:space="1" w:color="auto"/>
      </w:pBdr>
      <w:spacing w:after="240"/>
      <w:jc w:val="right"/>
      <w:rPr>
        <w:rFonts w:ascii="Arial" w:hAnsi="Arial" w:cs="Arial"/>
        <w:sz w:val="20"/>
      </w:rPr>
    </w:pPr>
    <w:r>
      <w:rPr>
        <w:rFonts w:ascii="Arial" w:hAnsi="Arial" w:cs="Arial"/>
        <w:sz w:val="20"/>
      </w:rPr>
      <w:t>Finance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3B67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F9" w:rsidRDefault="003B67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F1BCE"/>
    <w:rsid w:val="00126F61"/>
    <w:rsid w:val="001A6C47"/>
    <w:rsid w:val="001A7C03"/>
    <w:rsid w:val="001B50E9"/>
    <w:rsid w:val="00217F2A"/>
    <w:rsid w:val="002634E7"/>
    <w:rsid w:val="002B172E"/>
    <w:rsid w:val="00321202"/>
    <w:rsid w:val="00352C86"/>
    <w:rsid w:val="003B67F9"/>
    <w:rsid w:val="003D1D19"/>
    <w:rsid w:val="003D782C"/>
    <w:rsid w:val="003E1DCF"/>
    <w:rsid w:val="003E546C"/>
    <w:rsid w:val="003F5B81"/>
    <w:rsid w:val="0040293E"/>
    <w:rsid w:val="00403EA2"/>
    <w:rsid w:val="004163D3"/>
    <w:rsid w:val="0045688F"/>
    <w:rsid w:val="00457033"/>
    <w:rsid w:val="00564583"/>
    <w:rsid w:val="007C009B"/>
    <w:rsid w:val="0086045D"/>
    <w:rsid w:val="008846EA"/>
    <w:rsid w:val="008D0100"/>
    <w:rsid w:val="008E3028"/>
    <w:rsid w:val="00914EE3"/>
    <w:rsid w:val="009F5A37"/>
    <w:rsid w:val="00B47532"/>
    <w:rsid w:val="00B557D8"/>
    <w:rsid w:val="00BB70A3"/>
    <w:rsid w:val="00C86147"/>
    <w:rsid w:val="00CC0E50"/>
    <w:rsid w:val="00CD634C"/>
    <w:rsid w:val="00CE229D"/>
    <w:rsid w:val="00CE2660"/>
    <w:rsid w:val="00DA0C76"/>
    <w:rsid w:val="00E3111D"/>
    <w:rsid w:val="00E36B56"/>
    <w:rsid w:val="00F861BF"/>
    <w:rsid w:val="00FA56F0"/>
    <w:rsid w:val="00FA5F75"/>
    <w:rsid w:val="00FC226E"/>
    <w:rsid w:val="00FE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12A649-4533-4C25-98FE-B867231F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2020-06-03T15:43:00Z</dcterms:created>
  <dcterms:modified xsi:type="dcterms:W3CDTF">2020-06-03T15:43:00Z</dcterms:modified>
</cp:coreProperties>
</file>