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3F" w:rsidRDefault="00842FC6" w:rsidP="00D9043F">
      <w:pPr>
        <w:spacing w:after="120"/>
        <w:jc w:val="center"/>
        <w:rPr>
          <w:rFonts w:ascii="Arial" w:hAnsi="Arial" w:cs="Arial"/>
          <w:b/>
          <w:bCs/>
          <w:sz w:val="28"/>
        </w:rPr>
      </w:pPr>
      <w:bookmarkStart w:id="0" w:name="_GoBack"/>
      <w:bookmarkEnd w:id="0"/>
      <w:r w:rsidRPr="00E101BB">
        <w:rPr>
          <w:rFonts w:ascii="Arial" w:hAnsi="Arial" w:cs="Arial"/>
          <w:noProof/>
          <w:sz w:val="20"/>
        </w:rPr>
        <w:drawing>
          <wp:inline distT="0" distB="0" distL="0" distR="0">
            <wp:extent cx="3086100" cy="504825"/>
            <wp:effectExtent l="0" t="0" r="0" b="0"/>
            <wp:docPr id="1" name="Picture 1" descr="black_white_logo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white_logo_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l="5882" t="14583" r="2942" b="22917"/>
                    <a:stretch>
                      <a:fillRect/>
                    </a:stretch>
                  </pic:blipFill>
                  <pic:spPr bwMode="auto">
                    <a:xfrm>
                      <a:off x="0" y="0"/>
                      <a:ext cx="3086100" cy="504825"/>
                    </a:xfrm>
                    <a:prstGeom prst="rect">
                      <a:avLst/>
                    </a:prstGeom>
                    <a:noFill/>
                    <a:ln>
                      <a:noFill/>
                    </a:ln>
                  </pic:spPr>
                </pic:pic>
              </a:graphicData>
            </a:graphic>
          </wp:inline>
        </w:drawing>
      </w:r>
      <w:r w:rsidR="00D9043F">
        <w:rPr>
          <w:rFonts w:ascii="Arial" w:hAnsi="Arial" w:cs="Arial"/>
          <w:sz w:val="20"/>
        </w:rPr>
        <w:t xml:space="preserve">                 </w:t>
      </w:r>
      <w:r>
        <w:rPr>
          <w:noProof/>
        </w:rPr>
        <w:drawing>
          <wp:inline distT="0" distB="0" distL="0" distR="0">
            <wp:extent cx="1524000" cy="752475"/>
            <wp:effectExtent l="0" t="0" r="0" b="0"/>
            <wp:docPr id="2" name="Picture 2" descr="Forum_300dpi_500x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um_300dpi_500x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752475"/>
                    </a:xfrm>
                    <a:prstGeom prst="rect">
                      <a:avLst/>
                    </a:prstGeom>
                    <a:noFill/>
                    <a:ln>
                      <a:noFill/>
                    </a:ln>
                  </pic:spPr>
                </pic:pic>
              </a:graphicData>
            </a:graphic>
          </wp:inline>
        </w:drawing>
      </w:r>
    </w:p>
    <w:p w:rsidR="00D9043F" w:rsidRDefault="00D9043F" w:rsidP="00D9043F">
      <w:pPr>
        <w:jc w:val="center"/>
        <w:rPr>
          <w:rFonts w:ascii="Arial" w:hAnsi="Arial" w:cs="Arial"/>
          <w:b/>
          <w:bCs/>
          <w:sz w:val="28"/>
        </w:rPr>
      </w:pPr>
    </w:p>
    <w:p w:rsidR="006C3455" w:rsidRDefault="00D9043F" w:rsidP="00D9043F">
      <w:pPr>
        <w:jc w:val="center"/>
        <w:rPr>
          <w:rFonts w:ascii="Arial" w:hAnsi="Arial" w:cs="Arial"/>
          <w:b/>
          <w:bCs/>
          <w:sz w:val="28"/>
        </w:rPr>
      </w:pPr>
      <w:r>
        <w:rPr>
          <w:rFonts w:ascii="Arial" w:hAnsi="Arial" w:cs="Arial"/>
          <w:b/>
          <w:bCs/>
          <w:sz w:val="28"/>
        </w:rPr>
        <w:t>Accountability Self-Assessment for Staffed Private Foundations</w:t>
      </w:r>
    </w:p>
    <w:p w:rsidR="000C5087" w:rsidRDefault="006C3455" w:rsidP="00D9043F">
      <w:pPr>
        <w:jc w:val="center"/>
        <w:rPr>
          <w:rFonts w:ascii="Arial" w:hAnsi="Arial" w:cs="Arial"/>
        </w:rPr>
      </w:pPr>
      <w:r>
        <w:rPr>
          <w:rFonts w:ascii="Arial" w:hAnsi="Arial" w:cs="Arial"/>
          <w:b/>
          <w:bCs/>
          <w:sz w:val="28"/>
        </w:rPr>
        <w:t>PERSONNEL</w:t>
      </w:r>
    </w:p>
    <w:p w:rsidR="00D9043F" w:rsidRDefault="00D9043F">
      <w:pPr>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This self-assessment tool is designed to help you determine if your staff</w:t>
      </w:r>
      <w:r w:rsidR="00C42D23">
        <w:rPr>
          <w:rFonts w:ascii="Arial" w:hAnsi="Arial" w:cs="Arial"/>
          <w:sz w:val="20"/>
        </w:rPr>
        <w:t>ed private foundation (family,</w:t>
      </w:r>
      <w:r>
        <w:rPr>
          <w:rFonts w:ascii="Arial" w:hAnsi="Arial" w:cs="Arial"/>
          <w:sz w:val="20"/>
        </w:rPr>
        <w:t xml:space="preserve"> independent</w:t>
      </w:r>
      <w:r w:rsidR="00C42D23">
        <w:rPr>
          <w:rFonts w:ascii="Arial" w:hAnsi="Arial" w:cs="Arial"/>
          <w:sz w:val="20"/>
        </w:rPr>
        <w:t xml:space="preserve"> or corporate</w:t>
      </w:r>
      <w:r>
        <w:rPr>
          <w:rFonts w:ascii="Arial" w:hAnsi="Arial" w:cs="Arial"/>
          <w:sz w:val="20"/>
        </w:rPr>
        <w:t>) is complying with key federal laws and regulations and is engaging in generally recommended good practices for being accountable to the public.  Addressing issues of accountability is an ongoing process for an organization, and this tool is designed to help organizations with that process.</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This </w:t>
      </w:r>
      <w:r w:rsidR="006C3455">
        <w:rPr>
          <w:rFonts w:ascii="Arial" w:hAnsi="Arial" w:cs="Arial"/>
          <w:sz w:val="20"/>
        </w:rPr>
        <w:t>Personnel t</w:t>
      </w:r>
      <w:r>
        <w:rPr>
          <w:rFonts w:ascii="Arial" w:hAnsi="Arial" w:cs="Arial"/>
          <w:sz w:val="20"/>
        </w:rPr>
        <w:t>ool is for private foundations with one or more full-time or part-time staff people.  If your foundation is not staffed, please use the accountability self-assessment tool for unstaffed private foundations.</w:t>
      </w:r>
    </w:p>
    <w:p w:rsidR="006C3455" w:rsidRDefault="006C3455">
      <w:pPr>
        <w:spacing w:line="264" w:lineRule="auto"/>
        <w:rPr>
          <w:rFonts w:ascii="Arial" w:hAnsi="Arial" w:cs="Arial"/>
          <w:sz w:val="20"/>
        </w:rPr>
      </w:pPr>
    </w:p>
    <w:p w:rsidR="006C3455" w:rsidRDefault="006C3455" w:rsidP="006C3455">
      <w:pPr>
        <w:spacing w:line="264" w:lineRule="auto"/>
        <w:rPr>
          <w:rFonts w:ascii="Arial" w:hAnsi="Arial" w:cs="Arial"/>
          <w:sz w:val="20"/>
        </w:rPr>
      </w:pPr>
      <w:r>
        <w:rPr>
          <w:rFonts w:ascii="Arial" w:hAnsi="Arial" w:cs="Arial"/>
          <w:sz w:val="20"/>
        </w:rPr>
        <w:t>Complete directions for how to use this tool are provided in a separate document.</w:t>
      </w:r>
    </w:p>
    <w:p w:rsidR="000C5087" w:rsidRDefault="000C5087">
      <w:pPr>
        <w:spacing w:line="264" w:lineRule="auto"/>
        <w:rPr>
          <w:rFonts w:ascii="Arial" w:hAnsi="Arial" w:cs="Arial"/>
          <w:sz w:val="20"/>
        </w:rPr>
      </w:pPr>
    </w:p>
    <w:p w:rsidR="000C5087" w:rsidRDefault="000C5087">
      <w:pPr>
        <w:spacing w:line="264" w:lineRule="auto"/>
        <w:rPr>
          <w:rFonts w:ascii="Arial" w:hAnsi="Arial" w:cs="Arial"/>
          <w:sz w:val="20"/>
        </w:rPr>
      </w:pPr>
      <w:r>
        <w:rPr>
          <w:rFonts w:ascii="Arial" w:hAnsi="Arial" w:cs="Arial"/>
          <w:sz w:val="20"/>
        </w:rPr>
        <w:t xml:space="preserve">Please note that this self-assessment tool is designed to allow some flexibility in how it is used and interpreted, since not all of the practices listed in the self-assessment tool will be applicable to every foundation, particularly smaller foundations.  But the tool provides a solid framework to help foundations assess how well they are achieving their goals to be ethical and accountable organizations.  </w:t>
      </w:r>
    </w:p>
    <w:p w:rsidR="000C5087" w:rsidRDefault="000C5087">
      <w:pPr>
        <w:spacing w:line="264" w:lineRule="auto"/>
        <w:rPr>
          <w:rFonts w:ascii="Arial" w:hAnsi="Arial" w:cs="Arial"/>
          <w:sz w:val="20"/>
        </w:rPr>
      </w:pPr>
    </w:p>
    <w:p w:rsidR="000C5087" w:rsidRDefault="000C5087">
      <w:pPr>
        <w:rPr>
          <w:rFonts w:ascii="Arial" w:hAnsi="Arial" w:cs="Arial"/>
          <w:sz w:val="20"/>
        </w:rPr>
      </w:pPr>
    </w:p>
    <w:tbl>
      <w:tblPr>
        <w:tblW w:w="0" w:type="auto"/>
        <w:tblLook w:val="0000" w:firstRow="0" w:lastRow="0" w:firstColumn="0" w:lastColumn="0" w:noHBand="0" w:noVBand="0"/>
      </w:tblPr>
      <w:tblGrid>
        <w:gridCol w:w="4075"/>
        <w:gridCol w:w="5940"/>
      </w:tblGrid>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Foundation Name:</w:t>
            </w:r>
          </w:p>
        </w:tc>
        <w:tc>
          <w:tcPr>
            <w:tcW w:w="5940" w:type="dxa"/>
            <w:tcBorders>
              <w:bottom w:val="single" w:sz="4" w:space="0" w:color="auto"/>
            </w:tcBorders>
            <w:tcMar>
              <w:top w:w="115" w:type="dxa"/>
              <w:left w:w="115" w:type="dxa"/>
              <w:bottom w:w="115" w:type="dxa"/>
              <w:right w:w="115" w:type="dxa"/>
            </w:tcMar>
          </w:tcPr>
          <w:p w:rsidR="000C5087" w:rsidRDefault="002F610D">
            <w:pPr>
              <w:rPr>
                <w:rFonts w:ascii="Arial" w:hAnsi="Arial" w:cs="Arial"/>
                <w:sz w:val="20"/>
              </w:rPr>
            </w:pPr>
            <w:r>
              <w:rPr>
                <w:rFonts w:ascii="Arial" w:hAnsi="Arial" w:cs="Arial"/>
                <w:sz w:val="20"/>
              </w:rPr>
              <w:fldChar w:fldCharType="begin">
                <w:ffData>
                  <w:name w:val="Text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Date(s) of 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2"/>
                  <w:enabled/>
                  <w:calcOnExit w:val="0"/>
                  <w:textInput/>
                </w:ffData>
              </w:fldChar>
            </w:r>
            <w:bookmarkStart w:id="1"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t xml:space="preserve">Name and Title of Person(s) Conducting </w:t>
            </w:r>
            <w:r>
              <w:rPr>
                <w:rFonts w:ascii="Arial" w:hAnsi="Arial" w:cs="Arial"/>
                <w:sz w:val="20"/>
              </w:rPr>
              <w:br/>
              <w:t>Self-Assessment:</w:t>
            </w: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3"/>
                  <w:enabled/>
                  <w:calcOnExit w:val="0"/>
                  <w:textInput/>
                </w:ffData>
              </w:fldChar>
            </w:r>
            <w:bookmarkStart w:id="2"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4"/>
                  <w:enabled/>
                  <w:calcOnExit w:val="0"/>
                  <w:textInput/>
                </w:ffData>
              </w:fldChar>
            </w:r>
            <w:bookmarkStart w:id="3" w:name="Text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5"/>
                  <w:enabled/>
                  <w:calcOnExit w:val="0"/>
                  <w:textInput/>
                </w:ffData>
              </w:fldChar>
            </w:r>
            <w:bookmarkStart w:id="4" w:name="Text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6"/>
                  <w:enabled/>
                  <w:calcOnExit w:val="0"/>
                  <w:textInput/>
                </w:ffData>
              </w:fldChar>
            </w:r>
            <w:bookmarkStart w:id="5" w:name="Text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r>
      <w:tr w:rsidR="000C5087">
        <w:tblPrEx>
          <w:tblCellMar>
            <w:top w:w="0" w:type="dxa"/>
            <w:bottom w:w="0" w:type="dxa"/>
          </w:tblCellMar>
        </w:tblPrEx>
        <w:tc>
          <w:tcPr>
            <w:tcW w:w="4075" w:type="dxa"/>
            <w:tcMar>
              <w:top w:w="115" w:type="dxa"/>
              <w:left w:w="115" w:type="dxa"/>
              <w:bottom w:w="115" w:type="dxa"/>
              <w:right w:w="115" w:type="dxa"/>
            </w:tcMar>
          </w:tcPr>
          <w:p w:rsidR="000C5087" w:rsidRDefault="000C5087">
            <w:pPr>
              <w:rPr>
                <w:rFonts w:ascii="Arial" w:hAnsi="Arial" w:cs="Arial"/>
                <w:sz w:val="20"/>
              </w:rPr>
            </w:pPr>
          </w:p>
        </w:tc>
        <w:tc>
          <w:tcPr>
            <w:tcW w:w="5940" w:type="dxa"/>
            <w:tcBorders>
              <w:top w:val="single" w:sz="4" w:space="0" w:color="auto"/>
              <w:bottom w:val="single" w:sz="4" w:space="0" w:color="auto"/>
            </w:tcBorders>
            <w:tcMar>
              <w:top w:w="115" w:type="dxa"/>
              <w:left w:w="115" w:type="dxa"/>
              <w:bottom w:w="115" w:type="dxa"/>
              <w:right w:w="115" w:type="dxa"/>
            </w:tcMar>
          </w:tcPr>
          <w:p w:rsidR="000C5087" w:rsidRDefault="000C5087">
            <w:pPr>
              <w:rPr>
                <w:rFonts w:ascii="Arial" w:hAnsi="Arial" w:cs="Arial"/>
                <w:sz w:val="20"/>
              </w:rPr>
            </w:pPr>
            <w:r>
              <w:rPr>
                <w:rFonts w:ascii="Arial" w:hAnsi="Arial" w:cs="Arial"/>
                <w:sz w:val="20"/>
              </w:rPr>
              <w:fldChar w:fldCharType="begin">
                <w:ffData>
                  <w:name w:val="Text7"/>
                  <w:enabled/>
                  <w:calcOnExit w:val="0"/>
                  <w:textInput/>
                </w:ffData>
              </w:fldChar>
            </w:r>
            <w:bookmarkStart w:id="6"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bl>
    <w:p w:rsidR="000C5087" w:rsidRDefault="000C5087">
      <w:pPr>
        <w:rPr>
          <w:rFonts w:ascii="Arial" w:hAnsi="Arial" w:cs="Arial"/>
          <w:sz w:val="20"/>
        </w:rPr>
      </w:pPr>
    </w:p>
    <w:p w:rsidR="000C5087" w:rsidRDefault="000C5087">
      <w:pPr>
        <w:rPr>
          <w:rFonts w:ascii="Arial" w:hAnsi="Arial" w:cs="Arial"/>
          <w:sz w:val="20"/>
        </w:rPr>
        <w:sectPr w:rsidR="000C5087">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9955"/>
      </w:tblGrid>
      <w:tr w:rsidR="000C5087">
        <w:tblPrEx>
          <w:tblCellMar>
            <w:top w:w="0" w:type="dxa"/>
            <w:bottom w:w="0" w:type="dxa"/>
          </w:tblCellMar>
        </w:tblPrEx>
        <w:tc>
          <w:tcPr>
            <w:tcW w:w="10080" w:type="dxa"/>
            <w:shd w:val="clear" w:color="auto" w:fill="000000"/>
            <w:tcMar>
              <w:top w:w="58" w:type="dxa"/>
              <w:left w:w="115" w:type="dxa"/>
              <w:bottom w:w="58" w:type="dxa"/>
              <w:right w:w="115" w:type="dxa"/>
            </w:tcMar>
            <w:vAlign w:val="center"/>
          </w:tcPr>
          <w:p w:rsidR="000C5087" w:rsidRDefault="000C5087">
            <w:pPr>
              <w:rPr>
                <w:rFonts w:ascii="Arial" w:hAnsi="Arial" w:cs="Arial"/>
                <w:b/>
                <w:bCs/>
                <w:color w:val="FFFFFF"/>
                <w:sz w:val="28"/>
              </w:rPr>
            </w:pPr>
            <w:r>
              <w:rPr>
                <w:rFonts w:ascii="Arial" w:hAnsi="Arial" w:cs="Arial"/>
                <w:b/>
                <w:bCs/>
              </w:rPr>
              <w:lastRenderedPageBreak/>
              <w:br w:type="page"/>
            </w:r>
            <w:r>
              <w:rPr>
                <w:rFonts w:ascii="Arial" w:hAnsi="Arial" w:cs="Arial"/>
                <w:b/>
                <w:bCs/>
                <w:color w:val="FFFFFF"/>
                <w:sz w:val="28"/>
              </w:rPr>
              <w:t>Personnel</w:t>
            </w:r>
          </w:p>
        </w:tc>
      </w:tr>
    </w:tbl>
    <w:p w:rsidR="000C5087" w:rsidRDefault="000C5087">
      <w:pPr>
        <w:spacing w:before="120" w:line="264" w:lineRule="auto"/>
        <w:rPr>
          <w:rFonts w:ascii="Arial" w:hAnsi="Arial" w:cs="Arial"/>
          <w:sz w:val="20"/>
        </w:rPr>
      </w:pPr>
      <w:r>
        <w:rPr>
          <w:rFonts w:ascii="Arial" w:hAnsi="Arial" w:cs="Arial"/>
          <w:sz w:val="20"/>
        </w:rPr>
        <w:t>This section focuses on a foundation’s hiring, compensation, management and training of its staff.  (Note: Corporate foundations should complete this section with the understanding that they follow the company’s personnel policies, practices and procedures, and thus typically have less control over this area than other types of foundations.)</w:t>
      </w:r>
    </w:p>
    <w:p w:rsidR="000C5087" w:rsidRDefault="000C5087">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1 – Legal Compliance</w:t>
      </w: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3"/>
        <w:gridCol w:w="684"/>
        <w:gridCol w:w="657"/>
        <w:gridCol w:w="678"/>
      </w:tblGrid>
      <w:tr w:rsidR="000C5087">
        <w:tc>
          <w:tcPr>
            <w:tcW w:w="8066" w:type="dxa"/>
          </w:tcPr>
          <w:p w:rsidR="000C5087" w:rsidRDefault="000C5087">
            <w:pPr>
              <w:spacing w:line="264" w:lineRule="auto"/>
              <w:rPr>
                <w:rFonts w:ascii="Arial" w:hAnsi="Arial" w:cs="Arial"/>
                <w:sz w:val="22"/>
              </w:rPr>
            </w:pPr>
            <w:r>
              <w:rPr>
                <w:rFonts w:ascii="Arial" w:hAnsi="Arial" w:cs="Arial"/>
                <w:b/>
                <w:bCs/>
                <w:i/>
                <w:iCs/>
                <w:sz w:val="22"/>
              </w:rPr>
              <w:t>Staff Compensation</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8" w:type="dxa"/>
          </w:tcPr>
          <w:p w:rsidR="000C5087" w:rsidRDefault="000C5087">
            <w:pPr>
              <w:spacing w:line="264" w:lineRule="auto"/>
              <w:jc w:val="center"/>
              <w:rPr>
                <w:rFonts w:ascii="Arial" w:hAnsi="Arial" w:cs="Arial"/>
                <w:sz w:val="20"/>
              </w:rPr>
            </w:pPr>
            <w:r>
              <w:rPr>
                <w:rFonts w:ascii="Arial" w:hAnsi="Arial" w:cs="Arial"/>
                <w:sz w:val="20"/>
              </w:rPr>
              <w:t>No</w:t>
            </w:r>
          </w:p>
        </w:tc>
        <w:tc>
          <w:tcPr>
            <w:tcW w:w="679" w:type="dxa"/>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r>
            <w:r>
              <w:rPr>
                <w:rFonts w:ascii="Arial" w:hAnsi="Arial" w:cs="Arial"/>
                <w:sz w:val="20"/>
                <w:szCs w:val="23"/>
              </w:rPr>
              <w:t xml:space="preserve">We have taken steps to ensure that </w:t>
            </w:r>
            <w:r>
              <w:rPr>
                <w:rFonts w:ascii="Arial" w:hAnsi="Arial" w:cs="Arial"/>
                <w:sz w:val="20"/>
              </w:rPr>
              <w:t xml:space="preserve">any compensation we pay to high-level employees </w:t>
            </w:r>
            <w:r>
              <w:rPr>
                <w:rFonts w:ascii="Arial" w:hAnsi="Arial" w:cs="Arial"/>
                <w:sz w:val="20"/>
                <w:szCs w:val="23"/>
              </w:rPr>
              <w:t>is reasonable and not excessive</w:t>
            </w:r>
            <w:r>
              <w:rPr>
                <w:rFonts w:ascii="Arial" w:hAnsi="Arial" w:cs="Arial"/>
                <w:sz w:val="20"/>
              </w:rPr>
              <w:t>, including the following:</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rely on comparable data prior to making a determination of compensation for high-level employees.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Compensation arrangements for high-level employees are approved in advance by the board, exclusive of any individuals who have a conflict of interest with respect to the arrangement.  At a minimum, family members recuse themselves from discussions and decisions about their own compensation, and this is noted in meeting minutes.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6"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adequately document the basis for the board’s determination of compensation for high-level employees.</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spacing w:line="264" w:lineRule="auto"/>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49"/>
        <w:gridCol w:w="685"/>
        <w:gridCol w:w="659"/>
        <w:gridCol w:w="679"/>
      </w:tblGrid>
      <w:tr w:rsidR="000C5087">
        <w:tc>
          <w:tcPr>
            <w:tcW w:w="8062" w:type="dxa"/>
          </w:tcPr>
          <w:p w:rsidR="000C5087" w:rsidRDefault="000C5087">
            <w:pPr>
              <w:spacing w:line="264" w:lineRule="auto"/>
              <w:rPr>
                <w:rFonts w:ascii="Arial" w:hAnsi="Arial" w:cs="Arial"/>
                <w:sz w:val="22"/>
              </w:rPr>
            </w:pPr>
            <w:r>
              <w:rPr>
                <w:rFonts w:ascii="Arial" w:hAnsi="Arial" w:cs="Arial"/>
                <w:b/>
                <w:bCs/>
                <w:i/>
                <w:iCs/>
                <w:sz w:val="22"/>
              </w:rPr>
              <w:t>Whistle-Blower Protection</w:t>
            </w:r>
          </w:p>
        </w:tc>
        <w:tc>
          <w:tcPr>
            <w:tcW w:w="686" w:type="dxa"/>
          </w:tcPr>
          <w:p w:rsidR="000C5087" w:rsidRDefault="000C5087">
            <w:pPr>
              <w:spacing w:line="264" w:lineRule="auto"/>
              <w:jc w:val="center"/>
              <w:rPr>
                <w:rFonts w:ascii="Arial" w:hAnsi="Arial" w:cs="Arial"/>
                <w:sz w:val="20"/>
              </w:rPr>
            </w:pPr>
            <w:r>
              <w:rPr>
                <w:rFonts w:ascii="Arial" w:hAnsi="Arial" w:cs="Arial"/>
                <w:sz w:val="20"/>
              </w:rPr>
              <w:t>Yes</w:t>
            </w:r>
          </w:p>
        </w:tc>
        <w:tc>
          <w:tcPr>
            <w:tcW w:w="660"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developed, adopted, disclose and follow a “whistle-blower” protection policy to encourage employees and volunteers to come forward as soon as possible with credible information on suspected illegal financial, auditing or governance practices; violations of adopted policies; or any other unethical or inappropriate conduct of board or staff members.  The policy includes a formal, confidential and anonymous process to deal with complaints and prevent retaliation.</w:t>
            </w:r>
            <w:r>
              <w:rPr>
                <w:rFonts w:ascii="Arial" w:hAnsi="Arial" w:cs="Arial"/>
                <w:sz w:val="20"/>
                <w:szCs w:val="23"/>
                <w:vertAlign w:val="superscript"/>
              </w:rPr>
              <w:t>4</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2"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 xml:space="preserve">We investigate any and all employee and volunteer complaints of suspected misconduct or malfeasance, and correct any problems or explain why corrections were not necessary.  Any action taken to correct or address the complaint is documented and entered into the foundation’s permanent records. </w:t>
            </w:r>
          </w:p>
        </w:tc>
        <w:tc>
          <w:tcPr>
            <w:tcW w:w="686"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60"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rsidP="00EE1DE1">
      <w:pPr>
        <w:numPr>
          <w:ilvl w:val="0"/>
          <w:numId w:val="10"/>
        </w:numPr>
        <w:tabs>
          <w:tab w:val="left" w:pos="144"/>
        </w:tabs>
        <w:rPr>
          <w:rFonts w:ascii="Arial" w:hAnsi="Arial" w:cs="Arial"/>
          <w:sz w:val="16"/>
          <w:szCs w:val="16"/>
        </w:rPr>
      </w:pPr>
      <w:r w:rsidRPr="00EE1DE1">
        <w:rPr>
          <w:rFonts w:ascii="Arial" w:hAnsi="Arial" w:cs="Arial"/>
          <w:sz w:val="16"/>
          <w:szCs w:val="16"/>
        </w:rPr>
        <w:t>The law does not require a private foundation to have a “whistle-blower” protection policy, but having such a policy is becoming increasingly critical to protect a foundation from legal liability.  Although provisions of the Sarbanes-Oxley Act of 2002 apply only to public companies, the Act has made it easier for the government to prosecute cases where individuals and organizations (including charitable institutions and their managers) have obstructed justice by retaliating against whistle blowers.  And there are growing calls from federal and state regulators to mandate Sarbanes-Oxley-type reforms for charities.</w:t>
      </w:r>
    </w:p>
    <w:p w:rsidR="00EE1DE1" w:rsidRDefault="00EE1DE1" w:rsidP="00EE1DE1">
      <w:pPr>
        <w:tabs>
          <w:tab w:val="left" w:pos="144"/>
        </w:tabs>
        <w:ind w:left="360"/>
        <w:rPr>
          <w:rFonts w:ascii="Arial" w:hAnsi="Arial" w:cs="Arial"/>
          <w:sz w:val="20"/>
        </w:rPr>
      </w:pPr>
    </w:p>
    <w:p w:rsidR="000C5087" w:rsidRDefault="000C5087">
      <w:pPr>
        <w:rPr>
          <w:rFonts w:ascii="Arial" w:hAnsi="Arial" w:cs="Arial"/>
          <w:sz w:val="20"/>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0C5087">
        <w:tc>
          <w:tcPr>
            <w:tcW w:w="8064" w:type="dxa"/>
          </w:tcPr>
          <w:p w:rsidR="000C5087" w:rsidRDefault="000C5087">
            <w:pPr>
              <w:spacing w:line="264" w:lineRule="auto"/>
              <w:rPr>
                <w:rFonts w:ascii="Arial" w:hAnsi="Arial" w:cs="Arial"/>
                <w:sz w:val="22"/>
              </w:rPr>
            </w:pPr>
            <w:r>
              <w:rPr>
                <w:rFonts w:ascii="Arial" w:hAnsi="Arial" w:cs="Arial"/>
                <w:b/>
                <w:bCs/>
                <w:i/>
                <w:iCs/>
                <w:sz w:val="22"/>
              </w:rPr>
              <w:t>Employment Laws &amp; Regulations</w:t>
            </w:r>
          </w:p>
        </w:tc>
        <w:tc>
          <w:tcPr>
            <w:tcW w:w="685" w:type="dxa"/>
          </w:tcPr>
          <w:p w:rsidR="000C5087" w:rsidRDefault="000C5087">
            <w:pPr>
              <w:spacing w:line="264" w:lineRule="auto"/>
              <w:jc w:val="center"/>
              <w:rPr>
                <w:rFonts w:ascii="Arial" w:hAnsi="Arial" w:cs="Arial"/>
                <w:sz w:val="20"/>
              </w:rPr>
            </w:pPr>
            <w:r>
              <w:rPr>
                <w:rFonts w:ascii="Arial" w:hAnsi="Arial" w:cs="Arial"/>
                <w:sz w:val="20"/>
              </w:rPr>
              <w:t>Yes</w:t>
            </w:r>
          </w:p>
        </w:tc>
        <w:tc>
          <w:tcPr>
            <w:tcW w:w="659" w:type="dxa"/>
          </w:tcPr>
          <w:p w:rsidR="000C5087" w:rsidRDefault="000C5087">
            <w:pPr>
              <w:spacing w:line="264" w:lineRule="auto"/>
              <w:jc w:val="center"/>
              <w:rPr>
                <w:rFonts w:ascii="Arial" w:hAnsi="Arial" w:cs="Arial"/>
                <w:sz w:val="20"/>
              </w:rPr>
            </w:pPr>
            <w:r>
              <w:rPr>
                <w:rFonts w:ascii="Arial" w:hAnsi="Arial" w:cs="Arial"/>
                <w:sz w:val="20"/>
              </w:rPr>
              <w:t>No</w:t>
            </w:r>
          </w:p>
        </w:tc>
        <w:tc>
          <w:tcPr>
            <w:tcW w:w="680" w:type="dxa"/>
            <w:tcBorders>
              <w:bottom w:val="single" w:sz="4" w:space="0" w:color="auto"/>
            </w:tcBorders>
          </w:tcPr>
          <w:p w:rsidR="000C5087" w:rsidRDefault="000C5087">
            <w:pPr>
              <w:spacing w:line="264" w:lineRule="auto"/>
              <w:jc w:val="center"/>
              <w:rPr>
                <w:rFonts w:ascii="Arial" w:hAnsi="Arial" w:cs="Arial"/>
                <w:sz w:val="20"/>
              </w:rPr>
            </w:pPr>
            <w:r>
              <w:rPr>
                <w:rFonts w:ascii="Arial" w:hAnsi="Arial" w:cs="Arial"/>
                <w:sz w:val="20"/>
              </w:rPr>
              <w:t>NA</w:t>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We comply with all applicable federal, state and local laws regarding equal employment opportunities for all persons regardless of disability, race, color, religion, gender, age, national origin, marital status or sexual orientation.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c>
          <w:tcPr>
            <w:tcW w:w="8064" w:type="dxa"/>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r>
            <w:r>
              <w:rPr>
                <w:rFonts w:ascii="Arial" w:hAnsi="Arial" w:cs="Arial"/>
                <w:color w:val="auto"/>
                <w:sz w:val="20"/>
              </w:rPr>
              <w:t>We comply with all filing deadlines and laws for making FICA (Social Security and Medicare) payments and for withholding federal, state and local income, employment and other taxes.</w:t>
            </w:r>
            <w:r>
              <w:rPr>
                <w:rFonts w:ascii="Arial" w:hAnsi="Arial" w:cs="Arial"/>
                <w:sz w:val="20"/>
              </w:rPr>
              <w:t xml:space="preserve"> </w:t>
            </w:r>
          </w:p>
        </w:tc>
        <w:tc>
          <w:tcPr>
            <w:tcW w:w="685"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9"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80"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16"/>
        </w:rPr>
      </w:pPr>
    </w:p>
    <w:tbl>
      <w:tblPr>
        <w:tblW w:w="0" w:type="auto"/>
        <w:tblInd w:w="8" w:type="dxa"/>
        <w:tblBorders>
          <w:insideH w:val="single" w:sz="4" w:space="0" w:color="auto"/>
        </w:tblBorders>
        <w:tblCellMar>
          <w:top w:w="101" w:type="dxa"/>
          <w:left w:w="0" w:type="dxa"/>
          <w:bottom w:w="101" w:type="dxa"/>
          <w:right w:w="0" w:type="dxa"/>
        </w:tblCellMar>
        <w:tblLook w:val="0000" w:firstRow="0" w:lastRow="0" w:firstColumn="0" w:lastColumn="0" w:noHBand="0" w:noVBand="0"/>
      </w:tblPr>
      <w:tblGrid>
        <w:gridCol w:w="8051"/>
        <w:gridCol w:w="684"/>
        <w:gridCol w:w="658"/>
        <w:gridCol w:w="679"/>
      </w:tblGrid>
      <w:tr w:rsidR="000C5087" w:rsidTr="00EE1DE1">
        <w:tc>
          <w:tcPr>
            <w:tcW w:w="8051" w:type="dxa"/>
          </w:tcPr>
          <w:p w:rsidR="000C5087" w:rsidRDefault="000C5087">
            <w:pPr>
              <w:tabs>
                <w:tab w:val="left" w:pos="288"/>
              </w:tabs>
              <w:ind w:left="288" w:hanging="288"/>
              <w:rPr>
                <w:rFonts w:ascii="Arial" w:hAnsi="Arial" w:cs="Arial"/>
                <w:sz w:val="20"/>
              </w:rPr>
            </w:pPr>
            <w:r>
              <w:rPr>
                <w:rFonts w:ascii="Arial" w:hAnsi="Arial" w:cs="Arial"/>
                <w:sz w:val="20"/>
              </w:rPr>
              <w:lastRenderedPageBreak/>
              <w:t>3.</w:t>
            </w:r>
            <w:r>
              <w:rPr>
                <w:rFonts w:ascii="Arial" w:hAnsi="Arial" w:cs="Arial"/>
                <w:sz w:val="20"/>
              </w:rPr>
              <w:tab/>
              <w:t>We provide worker’s compensation coverage pursuant to state law.</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nil"/>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rsidTr="00EE1DE1">
        <w:tc>
          <w:tcPr>
            <w:tcW w:w="8051" w:type="dxa"/>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 xml:space="preserve">We keep an accurate record of time worked by employees in order to calculate pay and benefits. </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rsidTr="00EE1DE1">
        <w:tc>
          <w:tcPr>
            <w:tcW w:w="8051" w:type="dxa"/>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 xml:space="preserve">We appropriately classify all employees as exempt or non-exempt, and non-exempt employees receive appropriate overtime compensation as required by federal law. </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rsidTr="00EE1DE1">
        <w:tc>
          <w:tcPr>
            <w:tcW w:w="8051" w:type="dxa"/>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r>
            <w:r>
              <w:rPr>
                <w:rFonts w:ascii="Arial" w:hAnsi="Arial" w:cs="Arial"/>
                <w:sz w:val="20"/>
                <w:szCs w:val="18"/>
              </w:rPr>
              <w:t>We provide a safe and healthy work environment as required by federal and state law.</w:t>
            </w:r>
            <w:r>
              <w:rPr>
                <w:rFonts w:ascii="Arial" w:hAnsi="Arial" w:cs="Arial"/>
                <w:sz w:val="20"/>
              </w:rPr>
              <w:t xml:space="preserve"> </w:t>
            </w:r>
          </w:p>
        </w:tc>
        <w:tc>
          <w:tcPr>
            <w:tcW w:w="684"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single" w:sz="4" w:space="0" w:color="auto"/>
            </w:tcBorders>
          </w:tcPr>
          <w:p w:rsidR="000C5087" w:rsidRDefault="000C5087">
            <w:pPr>
              <w:spacing w:line="264" w:lineRule="auto"/>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rsidTr="00EE1DE1">
        <w:tc>
          <w:tcPr>
            <w:tcW w:w="8051" w:type="dxa"/>
          </w:tcPr>
          <w:p w:rsidR="000C5087" w:rsidRDefault="000C5087">
            <w:pPr>
              <w:tabs>
                <w:tab w:val="left" w:pos="288"/>
              </w:tabs>
              <w:ind w:left="288" w:hanging="288"/>
              <w:rPr>
                <w:rFonts w:ascii="Arial" w:hAnsi="Arial" w:cs="Arial"/>
                <w:sz w:val="20"/>
              </w:rPr>
            </w:pPr>
            <w:r>
              <w:rPr>
                <w:rFonts w:ascii="Arial" w:hAnsi="Arial" w:cs="Arial"/>
                <w:sz w:val="20"/>
              </w:rPr>
              <w:t>7.</w:t>
            </w:r>
            <w:r>
              <w:rPr>
                <w:rFonts w:ascii="Arial" w:hAnsi="Arial" w:cs="Arial"/>
                <w:sz w:val="20"/>
              </w:rPr>
              <w:tab/>
              <w:t xml:space="preserve">If we have 50 or more employees, we comply with all provisions of the </w:t>
            </w:r>
            <w:r>
              <w:rPr>
                <w:rFonts w:ascii="Arial" w:hAnsi="Arial" w:cs="Arial"/>
                <w:sz w:val="20"/>
                <w:szCs w:val="18"/>
              </w:rPr>
              <w:t>Family and Medical Leave Act.</w:t>
            </w:r>
            <w:r>
              <w:rPr>
                <w:rFonts w:ascii="Arial" w:hAnsi="Arial" w:cs="Arial"/>
                <w:sz w:val="20"/>
              </w:rPr>
              <w:t xml:space="preserve"> </w:t>
            </w:r>
          </w:p>
        </w:tc>
        <w:tc>
          <w:tcPr>
            <w:tcW w:w="684" w:type="dxa"/>
          </w:tcPr>
          <w:p w:rsidR="000C5087" w:rsidRDefault="000C5087">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58" w:type="dxa"/>
          </w:tcPr>
          <w:p w:rsidR="000C5087" w:rsidRDefault="000C5087">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679" w:type="dxa"/>
            <w:tcBorders>
              <w:top w:val="single" w:sz="4" w:space="0" w:color="auto"/>
              <w:bottom w:val="nil"/>
            </w:tcBorders>
          </w:tcPr>
          <w:p w:rsidR="000C5087" w:rsidRDefault="000C5087">
            <w:pPr>
              <w:spacing w:line="264" w:lineRule="auto"/>
              <w:jc w:val="center"/>
              <w:rPr>
                <w:rFonts w:ascii="Arial" w:hAnsi="Arial" w:cs="Arial"/>
                <w:sz w:val="28"/>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EE1DE1" w:rsidRDefault="00EE1DE1">
      <w:pPr>
        <w:rPr>
          <w:rFonts w:ascii="Arial" w:hAnsi="Arial" w:cs="Arial"/>
          <w:sz w:val="20"/>
        </w:rPr>
      </w:pPr>
    </w:p>
    <w:p w:rsidR="000C5087" w:rsidRDefault="000C5087">
      <w:pPr>
        <w:pBdr>
          <w:bottom w:val="single" w:sz="18" w:space="0" w:color="auto"/>
        </w:pBdr>
        <w:spacing w:line="264" w:lineRule="auto"/>
        <w:rPr>
          <w:rFonts w:ascii="Arial" w:hAnsi="Arial" w:cs="Arial"/>
          <w:b/>
          <w:bCs/>
        </w:rPr>
      </w:pPr>
      <w:r>
        <w:rPr>
          <w:rFonts w:ascii="Arial" w:hAnsi="Arial" w:cs="Arial"/>
          <w:b/>
          <w:bCs/>
        </w:rPr>
        <w:t>Level 2 – Good Practices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i/>
                <w:iCs/>
                <w:sz w:val="22"/>
              </w:rPr>
            </w:pPr>
            <w:r>
              <w:rPr>
                <w:rFonts w:ascii="Arial" w:hAnsi="Arial" w:cs="Arial"/>
                <w:b/>
                <w:bCs/>
                <w:i/>
                <w:iCs/>
                <w:sz w:val="22"/>
              </w:rPr>
              <w:t>Staff Compensation</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Our chief executive’s total compensation is approved by our board.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have a written policy for setting staff salaries, and we review staff salaries at least annually.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0C5087">
        <w:tblPrEx>
          <w:tblCellMar>
            <w:top w:w="0" w:type="dxa"/>
            <w:bottom w:w="0" w:type="dxa"/>
          </w:tblCellMar>
        </w:tblPrEx>
        <w:tc>
          <w:tcPr>
            <w:tcW w:w="6244" w:type="dxa"/>
            <w:tcMar>
              <w:top w:w="101" w:type="dxa"/>
              <w:left w:w="0" w:type="dxa"/>
              <w:bottom w:w="29" w:type="dxa"/>
              <w:right w:w="0" w:type="dxa"/>
            </w:tcMar>
          </w:tcPr>
          <w:p w:rsidR="000C5087" w:rsidRDefault="000C5087">
            <w:pPr>
              <w:rPr>
                <w:rFonts w:ascii="Arial" w:hAnsi="Arial" w:cs="Arial"/>
                <w:b/>
                <w:bCs/>
                <w:sz w:val="22"/>
              </w:rPr>
            </w:pPr>
            <w:r>
              <w:rPr>
                <w:rFonts w:ascii="Arial" w:hAnsi="Arial" w:cs="Arial"/>
                <w:b/>
                <w:bCs/>
                <w:i/>
                <w:iCs/>
                <w:sz w:val="22"/>
              </w:rPr>
              <w:t>Staff Hiring &amp; Management</w:t>
            </w:r>
          </w:p>
        </w:tc>
        <w:tc>
          <w:tcPr>
            <w:tcW w:w="716" w:type="dxa"/>
          </w:tcPr>
          <w:p w:rsidR="000C5087" w:rsidRDefault="000C5087">
            <w:pPr>
              <w:jc w:val="center"/>
              <w:rPr>
                <w:rFonts w:ascii="Arial" w:hAnsi="Arial" w:cs="Arial"/>
                <w:sz w:val="20"/>
              </w:rPr>
            </w:pPr>
            <w:r>
              <w:rPr>
                <w:rFonts w:ascii="Arial" w:hAnsi="Arial" w:cs="Arial"/>
                <w:sz w:val="20"/>
              </w:rPr>
              <w:t>True</w:t>
            </w:r>
          </w:p>
        </w:tc>
        <w:tc>
          <w:tcPr>
            <w:tcW w:w="794" w:type="dxa"/>
          </w:tcPr>
          <w:p w:rsidR="000C5087" w:rsidRDefault="000C5087">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0C5087" w:rsidRDefault="000C5087">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0C5087" w:rsidRDefault="000C5087">
            <w:pPr>
              <w:jc w:val="center"/>
              <w:rPr>
                <w:rFonts w:ascii="Arial" w:hAnsi="Arial" w:cs="Arial"/>
                <w:sz w:val="20"/>
              </w:rPr>
            </w:pPr>
            <w:r>
              <w:rPr>
                <w:rFonts w:ascii="Arial" w:hAnsi="Arial" w:cs="Arial"/>
                <w:sz w:val="20"/>
              </w:rPr>
              <w:t>Never True</w:t>
            </w:r>
          </w:p>
        </w:tc>
        <w:tc>
          <w:tcPr>
            <w:tcW w:w="770" w:type="dxa"/>
          </w:tcPr>
          <w:p w:rsidR="000C5087" w:rsidRDefault="000C5087">
            <w:pPr>
              <w:jc w:val="center"/>
              <w:rPr>
                <w:rFonts w:ascii="Arial" w:hAnsi="Arial" w:cs="Arial"/>
                <w:sz w:val="20"/>
              </w:rPr>
            </w:pPr>
            <w:r>
              <w:rPr>
                <w:rFonts w:ascii="Arial" w:hAnsi="Arial" w:cs="Arial"/>
                <w:sz w:val="20"/>
              </w:rPr>
              <w:t>NA</w:t>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1.</w:t>
            </w:r>
            <w:r>
              <w:rPr>
                <w:rFonts w:ascii="Arial" w:hAnsi="Arial" w:cs="Arial"/>
                <w:sz w:val="20"/>
              </w:rPr>
              <w:tab/>
              <w:t>We engage in active recruiting and hiring strategies at each staff hiring opportunity.</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openly advertise all staff vacancies.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job descriptions for all staff and volunteer positions that clearly describe responsibilities and reporting relationships.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employ staff at all levels of the organization who reflect the diversity of the communities and constituents we serve, or who demonstrate the capacity to balance and understand the diverse needs and issues of those communities and constituents.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5.</w:t>
            </w:r>
            <w:r>
              <w:rPr>
                <w:rFonts w:ascii="Arial" w:hAnsi="Arial" w:cs="Arial"/>
                <w:sz w:val="20"/>
              </w:rPr>
              <w:tab/>
              <w:t>Our board annually evaluates the performance of the chief executive against goals and objectives agreed to by the chief executive and the board.  If this is a responsibility of a designated committee, a summary is provided to the full board.</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0C5087">
        <w:tblPrEx>
          <w:tblCellMar>
            <w:top w:w="0" w:type="dxa"/>
            <w:bottom w:w="0" w:type="dxa"/>
          </w:tblCellMar>
        </w:tblPrEx>
        <w:tc>
          <w:tcPr>
            <w:tcW w:w="6244" w:type="dxa"/>
            <w:tcMar>
              <w:top w:w="101" w:type="dxa"/>
              <w:left w:w="0" w:type="dxa"/>
              <w:bottom w:w="101" w:type="dxa"/>
              <w:right w:w="0" w:type="dxa"/>
            </w:tcMar>
          </w:tcPr>
          <w:p w:rsidR="000C5087" w:rsidRDefault="000C5087">
            <w:pPr>
              <w:tabs>
                <w:tab w:val="left" w:pos="288"/>
              </w:tabs>
              <w:ind w:left="288" w:hanging="288"/>
              <w:rPr>
                <w:rFonts w:ascii="Arial" w:hAnsi="Arial" w:cs="Arial"/>
                <w:sz w:val="20"/>
              </w:rPr>
            </w:pPr>
            <w:r>
              <w:rPr>
                <w:rFonts w:ascii="Arial" w:hAnsi="Arial" w:cs="Arial"/>
                <w:sz w:val="20"/>
              </w:rPr>
              <w:t>6.</w:t>
            </w:r>
            <w:r>
              <w:rPr>
                <w:rFonts w:ascii="Arial" w:hAnsi="Arial" w:cs="Arial"/>
                <w:sz w:val="20"/>
              </w:rPr>
              <w:tab/>
              <w:t>We have a system in place for regular written evaluation of employees by their supervisors.</w:t>
            </w:r>
          </w:p>
        </w:tc>
        <w:tc>
          <w:tcPr>
            <w:tcW w:w="71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0C5087" w:rsidRDefault="000C5087">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pPr>
        <w:rPr>
          <w:rFonts w:ascii="Arial" w:hAnsi="Arial" w:cs="Arial"/>
          <w:sz w:val="20"/>
        </w:rPr>
      </w:pPr>
    </w:p>
    <w:p w:rsidR="000C5087" w:rsidRDefault="000C5087">
      <w:pPr>
        <w:autoSpaceDE w:val="0"/>
        <w:autoSpaceDN w:val="0"/>
        <w:adjustRightInd w:val="0"/>
        <w:rPr>
          <w:rFonts w:ascii="Arial" w:hAnsi="Arial" w:cs="Arial"/>
          <w:sz w:val="20"/>
        </w:rPr>
      </w:pPr>
    </w:p>
    <w:p w:rsidR="00EE1DE1" w:rsidRDefault="00EE1DE1" w:rsidP="00EE1DE1">
      <w:pPr>
        <w:pBdr>
          <w:bottom w:val="single" w:sz="18" w:space="0" w:color="auto"/>
        </w:pBdr>
        <w:spacing w:line="264" w:lineRule="auto"/>
        <w:rPr>
          <w:rFonts w:ascii="Arial" w:hAnsi="Arial" w:cs="Arial"/>
          <w:b/>
          <w:bCs/>
        </w:rPr>
      </w:pPr>
      <w:r>
        <w:rPr>
          <w:rFonts w:ascii="Arial" w:hAnsi="Arial" w:cs="Arial"/>
          <w:b/>
          <w:bCs/>
        </w:rPr>
        <w:t>Level 3 – Practices of Excellence for Accountability</w:t>
      </w: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EE1DE1" w:rsidTr="00842F08">
        <w:tblPrEx>
          <w:tblCellMar>
            <w:top w:w="0" w:type="dxa"/>
            <w:bottom w:w="0" w:type="dxa"/>
          </w:tblCellMar>
        </w:tblPrEx>
        <w:tc>
          <w:tcPr>
            <w:tcW w:w="6244" w:type="dxa"/>
            <w:tcMar>
              <w:top w:w="101" w:type="dxa"/>
              <w:left w:w="0" w:type="dxa"/>
              <w:bottom w:w="29" w:type="dxa"/>
              <w:right w:w="0" w:type="dxa"/>
            </w:tcMar>
          </w:tcPr>
          <w:p w:rsidR="00EE1DE1" w:rsidRDefault="00EE1DE1" w:rsidP="00842F08">
            <w:pPr>
              <w:rPr>
                <w:rFonts w:ascii="Arial" w:hAnsi="Arial" w:cs="Arial"/>
                <w:b/>
                <w:bCs/>
                <w:sz w:val="22"/>
              </w:rPr>
            </w:pPr>
            <w:r>
              <w:rPr>
                <w:rFonts w:ascii="Arial" w:hAnsi="Arial" w:cs="Arial"/>
                <w:b/>
                <w:bCs/>
                <w:i/>
                <w:iCs/>
                <w:sz w:val="22"/>
              </w:rPr>
              <w:t>Staff Hiring &amp; Management</w:t>
            </w:r>
          </w:p>
        </w:tc>
        <w:tc>
          <w:tcPr>
            <w:tcW w:w="716" w:type="dxa"/>
          </w:tcPr>
          <w:p w:rsidR="00EE1DE1" w:rsidRDefault="00EE1DE1" w:rsidP="00842F08">
            <w:pPr>
              <w:jc w:val="center"/>
              <w:rPr>
                <w:rFonts w:ascii="Arial" w:hAnsi="Arial" w:cs="Arial"/>
                <w:sz w:val="20"/>
              </w:rPr>
            </w:pPr>
            <w:r>
              <w:rPr>
                <w:rFonts w:ascii="Arial" w:hAnsi="Arial" w:cs="Arial"/>
                <w:sz w:val="20"/>
              </w:rPr>
              <w:t>True</w:t>
            </w:r>
          </w:p>
        </w:tc>
        <w:tc>
          <w:tcPr>
            <w:tcW w:w="794" w:type="dxa"/>
          </w:tcPr>
          <w:p w:rsidR="00EE1DE1" w:rsidRDefault="00EE1DE1" w:rsidP="00842F08">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EE1DE1" w:rsidRDefault="00EE1DE1" w:rsidP="00842F08">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EE1DE1" w:rsidRDefault="00EE1DE1" w:rsidP="00842F08">
            <w:pPr>
              <w:jc w:val="center"/>
              <w:rPr>
                <w:rFonts w:ascii="Arial" w:hAnsi="Arial" w:cs="Arial"/>
                <w:sz w:val="20"/>
              </w:rPr>
            </w:pPr>
            <w:r>
              <w:rPr>
                <w:rFonts w:ascii="Arial" w:hAnsi="Arial" w:cs="Arial"/>
                <w:sz w:val="20"/>
              </w:rPr>
              <w:t>Never True</w:t>
            </w:r>
          </w:p>
        </w:tc>
        <w:tc>
          <w:tcPr>
            <w:tcW w:w="770" w:type="dxa"/>
          </w:tcPr>
          <w:p w:rsidR="00EE1DE1" w:rsidRDefault="00EE1DE1" w:rsidP="00842F08">
            <w:pPr>
              <w:jc w:val="center"/>
              <w:rPr>
                <w:rFonts w:ascii="Arial" w:hAnsi="Arial" w:cs="Arial"/>
                <w:sz w:val="20"/>
              </w:rPr>
            </w:pPr>
            <w:r>
              <w:rPr>
                <w:rFonts w:ascii="Arial" w:hAnsi="Arial" w:cs="Arial"/>
                <w:sz w:val="20"/>
              </w:rPr>
              <w:t>NA</w:t>
            </w:r>
          </w:p>
        </w:tc>
      </w:tr>
      <w:tr w:rsidR="00EE1DE1" w:rsidTr="00842F08">
        <w:tblPrEx>
          <w:tblCellMar>
            <w:top w:w="0" w:type="dxa"/>
            <w:bottom w:w="0" w:type="dxa"/>
          </w:tblCellMar>
        </w:tblPrEx>
        <w:tc>
          <w:tcPr>
            <w:tcW w:w="6244" w:type="dxa"/>
            <w:tcMar>
              <w:top w:w="101" w:type="dxa"/>
              <w:left w:w="0" w:type="dxa"/>
              <w:bottom w:w="101" w:type="dxa"/>
              <w:right w:w="0" w:type="dxa"/>
            </w:tcMar>
          </w:tcPr>
          <w:p w:rsidR="00EE1DE1" w:rsidRDefault="00EE1DE1" w:rsidP="00842F08">
            <w:pPr>
              <w:tabs>
                <w:tab w:val="left" w:pos="288"/>
              </w:tabs>
              <w:ind w:left="288" w:hanging="288"/>
              <w:rPr>
                <w:rFonts w:ascii="Arial" w:hAnsi="Arial" w:cs="Arial"/>
                <w:sz w:val="20"/>
              </w:rPr>
            </w:pPr>
            <w:r>
              <w:rPr>
                <w:rFonts w:ascii="Arial" w:hAnsi="Arial" w:cs="Arial"/>
                <w:sz w:val="20"/>
              </w:rPr>
              <w:lastRenderedPageBreak/>
              <w:t>1.</w:t>
            </w:r>
            <w:r>
              <w:rPr>
                <w:rFonts w:ascii="Arial" w:hAnsi="Arial" w:cs="Arial"/>
                <w:sz w:val="20"/>
              </w:rPr>
              <w:tab/>
              <w:t>Managers’ job descriptions make clear the extent of their authority to act without explicit authorization of the board.</w:t>
            </w:r>
          </w:p>
        </w:tc>
        <w:tc>
          <w:tcPr>
            <w:tcW w:w="71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E1DE1" w:rsidTr="00842F08">
        <w:tblPrEx>
          <w:tblCellMar>
            <w:top w:w="0" w:type="dxa"/>
            <w:bottom w:w="0" w:type="dxa"/>
          </w:tblCellMar>
        </w:tblPrEx>
        <w:tc>
          <w:tcPr>
            <w:tcW w:w="6244" w:type="dxa"/>
            <w:tcMar>
              <w:top w:w="101" w:type="dxa"/>
              <w:left w:w="0" w:type="dxa"/>
              <w:bottom w:w="101" w:type="dxa"/>
              <w:right w:w="0" w:type="dxa"/>
            </w:tcMar>
          </w:tcPr>
          <w:p w:rsidR="00EE1DE1" w:rsidRDefault="00EE1DE1" w:rsidP="00842F08">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develop and nurture a workplace environment that embraces diversity, allowing all involved to feel comfortable and able to do their best.</w:t>
            </w:r>
          </w:p>
        </w:tc>
        <w:tc>
          <w:tcPr>
            <w:tcW w:w="71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E1DE1" w:rsidTr="00842F08">
        <w:tblPrEx>
          <w:tblCellMar>
            <w:top w:w="0" w:type="dxa"/>
            <w:bottom w:w="0" w:type="dxa"/>
          </w:tblCellMar>
        </w:tblPrEx>
        <w:tc>
          <w:tcPr>
            <w:tcW w:w="6244" w:type="dxa"/>
            <w:tcMar>
              <w:top w:w="101" w:type="dxa"/>
              <w:left w:w="0" w:type="dxa"/>
              <w:bottom w:w="101" w:type="dxa"/>
              <w:right w:w="0" w:type="dxa"/>
            </w:tcMar>
          </w:tcPr>
          <w:p w:rsidR="00EE1DE1" w:rsidRDefault="00EE1DE1" w:rsidP="00842F08">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have written personnel policies and procedures, approved by the board, to govern the work and actions of all employees:</w:t>
            </w:r>
          </w:p>
        </w:tc>
        <w:tc>
          <w:tcPr>
            <w:tcW w:w="71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E1DE1" w:rsidTr="00842F08">
        <w:tblPrEx>
          <w:tblCellMar>
            <w:top w:w="0" w:type="dxa"/>
            <w:bottom w:w="0" w:type="dxa"/>
          </w:tblCellMar>
        </w:tblPrEx>
        <w:tc>
          <w:tcPr>
            <w:tcW w:w="6244" w:type="dxa"/>
            <w:tcMar>
              <w:top w:w="101" w:type="dxa"/>
              <w:left w:w="0" w:type="dxa"/>
              <w:bottom w:w="101" w:type="dxa"/>
              <w:right w:w="0" w:type="dxa"/>
            </w:tcMar>
          </w:tcPr>
          <w:p w:rsidR="00EE1DE1" w:rsidRDefault="00EE1DE1" w:rsidP="00842F08">
            <w:pPr>
              <w:tabs>
                <w:tab w:val="left" w:pos="288"/>
              </w:tabs>
              <w:ind w:left="288" w:hanging="288"/>
              <w:rPr>
                <w:rFonts w:ascii="Arial" w:hAnsi="Arial" w:cs="Arial"/>
                <w:sz w:val="20"/>
              </w:rPr>
            </w:pPr>
            <w:r>
              <w:rPr>
                <w:rFonts w:ascii="Arial" w:hAnsi="Arial" w:cs="Arial"/>
                <w:sz w:val="20"/>
              </w:rPr>
              <w:t>4.</w:t>
            </w:r>
            <w:r>
              <w:rPr>
                <w:rFonts w:ascii="Arial" w:hAnsi="Arial" w:cs="Arial"/>
                <w:sz w:val="20"/>
              </w:rPr>
              <w:tab/>
              <w:t>All new employees and volunteers receive a copy of the personnel policies and procedures, and acknowledge the receipt in writing.</w:t>
            </w:r>
          </w:p>
        </w:tc>
        <w:tc>
          <w:tcPr>
            <w:tcW w:w="71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EE1DE1" w:rsidRDefault="00EE1DE1" w:rsidP="00EE1DE1">
      <w:pPr>
        <w:autoSpaceDE w:val="0"/>
        <w:autoSpaceDN w:val="0"/>
        <w:adjustRightInd w:val="0"/>
        <w:rPr>
          <w:rFonts w:ascii="Arial" w:hAnsi="Arial" w:cs="Arial"/>
          <w:sz w:val="20"/>
        </w:rPr>
      </w:pPr>
    </w:p>
    <w:tbl>
      <w:tblPr>
        <w:tblW w:w="10080" w:type="dxa"/>
        <w:tblInd w:w="15" w:type="dxa"/>
        <w:tblBorders>
          <w:insideH w:val="single" w:sz="2" w:space="0" w:color="auto"/>
        </w:tblBorders>
        <w:tblLook w:val="0000" w:firstRow="0" w:lastRow="0" w:firstColumn="0" w:lastColumn="0" w:noHBand="0" w:noVBand="0"/>
      </w:tblPr>
      <w:tblGrid>
        <w:gridCol w:w="6244"/>
        <w:gridCol w:w="716"/>
        <w:gridCol w:w="794"/>
        <w:gridCol w:w="806"/>
        <w:gridCol w:w="750"/>
        <w:gridCol w:w="770"/>
      </w:tblGrid>
      <w:tr w:rsidR="00EE1DE1" w:rsidTr="00842F08">
        <w:tblPrEx>
          <w:tblCellMar>
            <w:top w:w="0" w:type="dxa"/>
            <w:bottom w:w="0" w:type="dxa"/>
          </w:tblCellMar>
        </w:tblPrEx>
        <w:tc>
          <w:tcPr>
            <w:tcW w:w="6244" w:type="dxa"/>
            <w:tcMar>
              <w:top w:w="101" w:type="dxa"/>
              <w:left w:w="0" w:type="dxa"/>
              <w:bottom w:w="29" w:type="dxa"/>
              <w:right w:w="0" w:type="dxa"/>
            </w:tcMar>
          </w:tcPr>
          <w:p w:rsidR="00EE1DE1" w:rsidRDefault="00EE1DE1" w:rsidP="00842F08">
            <w:pPr>
              <w:rPr>
                <w:rFonts w:ascii="Arial" w:hAnsi="Arial" w:cs="Arial"/>
                <w:b/>
                <w:bCs/>
                <w:sz w:val="22"/>
              </w:rPr>
            </w:pPr>
            <w:r>
              <w:br w:type="page"/>
            </w:r>
            <w:r>
              <w:rPr>
                <w:rFonts w:ascii="Arial" w:hAnsi="Arial" w:cs="Arial"/>
                <w:b/>
                <w:bCs/>
                <w:i/>
                <w:iCs/>
                <w:sz w:val="22"/>
              </w:rPr>
              <w:t>Staff Learning</w:t>
            </w:r>
          </w:p>
        </w:tc>
        <w:tc>
          <w:tcPr>
            <w:tcW w:w="716" w:type="dxa"/>
          </w:tcPr>
          <w:p w:rsidR="00EE1DE1" w:rsidRDefault="00EE1DE1" w:rsidP="00842F08">
            <w:pPr>
              <w:jc w:val="center"/>
              <w:rPr>
                <w:rFonts w:ascii="Arial" w:hAnsi="Arial" w:cs="Arial"/>
                <w:sz w:val="20"/>
              </w:rPr>
            </w:pPr>
            <w:r>
              <w:rPr>
                <w:rFonts w:ascii="Arial" w:hAnsi="Arial" w:cs="Arial"/>
                <w:sz w:val="20"/>
              </w:rPr>
              <w:t>True</w:t>
            </w:r>
          </w:p>
        </w:tc>
        <w:tc>
          <w:tcPr>
            <w:tcW w:w="794" w:type="dxa"/>
          </w:tcPr>
          <w:p w:rsidR="00EE1DE1" w:rsidRDefault="00EE1DE1" w:rsidP="00842F08">
            <w:pPr>
              <w:jc w:val="center"/>
              <w:rPr>
                <w:rFonts w:ascii="Arial" w:hAnsi="Arial" w:cs="Arial"/>
                <w:sz w:val="20"/>
              </w:rPr>
            </w:pPr>
            <w:r>
              <w:rPr>
                <w:rFonts w:ascii="Arial" w:hAnsi="Arial" w:cs="Arial"/>
                <w:sz w:val="20"/>
              </w:rPr>
              <w:t>Mostly</w:t>
            </w:r>
            <w:r>
              <w:rPr>
                <w:rFonts w:ascii="Arial" w:hAnsi="Arial" w:cs="Arial"/>
                <w:sz w:val="20"/>
              </w:rPr>
              <w:br/>
              <w:t>True</w:t>
            </w:r>
          </w:p>
        </w:tc>
        <w:tc>
          <w:tcPr>
            <w:tcW w:w="806" w:type="dxa"/>
          </w:tcPr>
          <w:p w:rsidR="00EE1DE1" w:rsidRDefault="00EE1DE1" w:rsidP="00842F08">
            <w:pPr>
              <w:jc w:val="center"/>
              <w:rPr>
                <w:rFonts w:ascii="Arial" w:hAnsi="Arial" w:cs="Arial"/>
                <w:sz w:val="20"/>
              </w:rPr>
            </w:pPr>
            <w:r>
              <w:rPr>
                <w:rFonts w:ascii="Arial" w:hAnsi="Arial" w:cs="Arial"/>
                <w:sz w:val="20"/>
              </w:rPr>
              <w:t>Some-</w:t>
            </w:r>
            <w:r>
              <w:rPr>
                <w:rFonts w:ascii="Arial" w:hAnsi="Arial" w:cs="Arial"/>
                <w:sz w:val="20"/>
              </w:rPr>
              <w:br/>
              <w:t>times</w:t>
            </w:r>
            <w:r>
              <w:rPr>
                <w:rFonts w:ascii="Arial" w:hAnsi="Arial" w:cs="Arial"/>
                <w:sz w:val="20"/>
              </w:rPr>
              <w:br/>
              <w:t>True</w:t>
            </w:r>
          </w:p>
        </w:tc>
        <w:tc>
          <w:tcPr>
            <w:tcW w:w="750" w:type="dxa"/>
          </w:tcPr>
          <w:p w:rsidR="00EE1DE1" w:rsidRDefault="00EE1DE1" w:rsidP="00842F08">
            <w:pPr>
              <w:jc w:val="center"/>
              <w:rPr>
                <w:rFonts w:ascii="Arial" w:hAnsi="Arial" w:cs="Arial"/>
                <w:sz w:val="20"/>
              </w:rPr>
            </w:pPr>
            <w:r>
              <w:rPr>
                <w:rFonts w:ascii="Arial" w:hAnsi="Arial" w:cs="Arial"/>
                <w:sz w:val="20"/>
              </w:rPr>
              <w:t>Never True</w:t>
            </w:r>
          </w:p>
        </w:tc>
        <w:tc>
          <w:tcPr>
            <w:tcW w:w="770" w:type="dxa"/>
          </w:tcPr>
          <w:p w:rsidR="00EE1DE1" w:rsidRDefault="00EE1DE1" w:rsidP="00842F08">
            <w:pPr>
              <w:jc w:val="center"/>
              <w:rPr>
                <w:rFonts w:ascii="Arial" w:hAnsi="Arial" w:cs="Arial"/>
                <w:sz w:val="20"/>
              </w:rPr>
            </w:pPr>
            <w:r>
              <w:rPr>
                <w:rFonts w:ascii="Arial" w:hAnsi="Arial" w:cs="Arial"/>
                <w:sz w:val="20"/>
              </w:rPr>
              <w:t>NA</w:t>
            </w:r>
          </w:p>
        </w:tc>
      </w:tr>
      <w:tr w:rsidR="00EE1DE1" w:rsidTr="00842F08">
        <w:tblPrEx>
          <w:tblCellMar>
            <w:top w:w="0" w:type="dxa"/>
            <w:bottom w:w="0" w:type="dxa"/>
          </w:tblCellMar>
        </w:tblPrEx>
        <w:tc>
          <w:tcPr>
            <w:tcW w:w="6244" w:type="dxa"/>
            <w:tcMar>
              <w:top w:w="101" w:type="dxa"/>
              <w:left w:w="0" w:type="dxa"/>
              <w:bottom w:w="101" w:type="dxa"/>
              <w:right w:w="0" w:type="dxa"/>
            </w:tcMar>
          </w:tcPr>
          <w:p w:rsidR="00EE1DE1" w:rsidRDefault="00EE1DE1" w:rsidP="00842F08">
            <w:pPr>
              <w:tabs>
                <w:tab w:val="left" w:pos="288"/>
              </w:tabs>
              <w:ind w:left="288" w:hanging="288"/>
              <w:rPr>
                <w:rFonts w:ascii="Arial" w:hAnsi="Arial" w:cs="Arial"/>
                <w:sz w:val="20"/>
              </w:rPr>
            </w:pPr>
            <w:r>
              <w:rPr>
                <w:rFonts w:ascii="Arial" w:hAnsi="Arial" w:cs="Arial"/>
                <w:sz w:val="20"/>
              </w:rPr>
              <w:t>1.</w:t>
            </w:r>
            <w:r>
              <w:rPr>
                <w:rFonts w:ascii="Arial" w:hAnsi="Arial" w:cs="Arial"/>
                <w:sz w:val="20"/>
              </w:rPr>
              <w:tab/>
              <w:t xml:space="preserve">New employees and volunteers receive an orientation that includes a review of their roles and responsibilities, personnel policies and procedures, </w:t>
            </w:r>
            <w:r>
              <w:rPr>
                <w:rFonts w:ascii="Arial" w:hAnsi="Arial" w:cs="Arial"/>
                <w:color w:val="auto"/>
                <w:sz w:val="20"/>
                <w:szCs w:val="24"/>
              </w:rPr>
              <w:t>ethics and accountability, and an introduction to grantmaking and the philanthropy field</w:t>
            </w:r>
            <w:r>
              <w:rPr>
                <w:rFonts w:ascii="Arial" w:hAnsi="Arial" w:cs="Arial"/>
                <w:sz w:val="20"/>
              </w:rPr>
              <w:t>.</w:t>
            </w:r>
          </w:p>
        </w:tc>
        <w:tc>
          <w:tcPr>
            <w:tcW w:w="71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E1DE1" w:rsidTr="00842F08">
        <w:tblPrEx>
          <w:tblCellMar>
            <w:top w:w="0" w:type="dxa"/>
            <w:bottom w:w="0" w:type="dxa"/>
          </w:tblCellMar>
        </w:tblPrEx>
        <w:tc>
          <w:tcPr>
            <w:tcW w:w="6244" w:type="dxa"/>
            <w:tcMar>
              <w:top w:w="101" w:type="dxa"/>
              <w:left w:w="0" w:type="dxa"/>
              <w:bottom w:w="101" w:type="dxa"/>
              <w:right w:w="0" w:type="dxa"/>
            </w:tcMar>
          </w:tcPr>
          <w:p w:rsidR="00EE1DE1" w:rsidRDefault="00EE1DE1" w:rsidP="00842F08">
            <w:pPr>
              <w:tabs>
                <w:tab w:val="left" w:pos="288"/>
              </w:tabs>
              <w:ind w:left="288" w:hanging="288"/>
              <w:rPr>
                <w:rFonts w:ascii="Arial" w:hAnsi="Arial" w:cs="Arial"/>
                <w:sz w:val="20"/>
              </w:rPr>
            </w:pPr>
            <w:r>
              <w:rPr>
                <w:rFonts w:ascii="Arial" w:hAnsi="Arial" w:cs="Arial"/>
                <w:sz w:val="20"/>
              </w:rPr>
              <w:t>2.</w:t>
            </w:r>
            <w:r>
              <w:rPr>
                <w:rFonts w:ascii="Arial" w:hAnsi="Arial" w:cs="Arial"/>
                <w:sz w:val="20"/>
              </w:rPr>
              <w:tab/>
              <w:t>We hold regular staff trainings on ethics and accountability.</w:t>
            </w:r>
          </w:p>
        </w:tc>
        <w:tc>
          <w:tcPr>
            <w:tcW w:w="71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E1DE1" w:rsidTr="00842F08">
        <w:tblPrEx>
          <w:tblCellMar>
            <w:top w:w="0" w:type="dxa"/>
            <w:bottom w:w="0" w:type="dxa"/>
          </w:tblCellMar>
        </w:tblPrEx>
        <w:tc>
          <w:tcPr>
            <w:tcW w:w="6244" w:type="dxa"/>
            <w:tcMar>
              <w:top w:w="101" w:type="dxa"/>
              <w:left w:w="0" w:type="dxa"/>
              <w:bottom w:w="101" w:type="dxa"/>
              <w:right w:w="0" w:type="dxa"/>
            </w:tcMar>
          </w:tcPr>
          <w:p w:rsidR="00EE1DE1" w:rsidRDefault="00EE1DE1" w:rsidP="00842F08">
            <w:pPr>
              <w:tabs>
                <w:tab w:val="left" w:pos="288"/>
              </w:tabs>
              <w:ind w:left="288" w:hanging="288"/>
              <w:rPr>
                <w:rFonts w:ascii="Arial" w:hAnsi="Arial" w:cs="Arial"/>
                <w:sz w:val="20"/>
              </w:rPr>
            </w:pPr>
            <w:r>
              <w:rPr>
                <w:rFonts w:ascii="Arial" w:hAnsi="Arial" w:cs="Arial"/>
                <w:sz w:val="20"/>
              </w:rPr>
              <w:t>3.</w:t>
            </w:r>
            <w:r>
              <w:rPr>
                <w:rFonts w:ascii="Arial" w:hAnsi="Arial" w:cs="Arial"/>
                <w:sz w:val="20"/>
              </w:rPr>
              <w:tab/>
              <w:t>We plan, adequately fund, and give a high priority to continuous learning and training of staff.</w:t>
            </w:r>
          </w:p>
        </w:tc>
        <w:tc>
          <w:tcPr>
            <w:tcW w:w="71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E1DE1" w:rsidTr="00842F08">
        <w:tblPrEx>
          <w:tblCellMar>
            <w:top w:w="0" w:type="dxa"/>
            <w:bottom w:w="0" w:type="dxa"/>
          </w:tblCellMar>
        </w:tblPrEx>
        <w:tc>
          <w:tcPr>
            <w:tcW w:w="6244" w:type="dxa"/>
            <w:tcMar>
              <w:top w:w="101" w:type="dxa"/>
              <w:left w:w="0" w:type="dxa"/>
              <w:bottom w:w="101" w:type="dxa"/>
              <w:right w:w="0" w:type="dxa"/>
            </w:tcMar>
          </w:tcPr>
          <w:p w:rsidR="00EE1DE1" w:rsidRDefault="00EE1DE1" w:rsidP="00842F08">
            <w:pPr>
              <w:tabs>
                <w:tab w:val="left" w:pos="288"/>
              </w:tabs>
              <w:ind w:left="288" w:hanging="288"/>
              <w:rPr>
                <w:rFonts w:ascii="Arial" w:hAnsi="Arial" w:cs="Arial"/>
                <w:sz w:val="20"/>
              </w:rPr>
            </w:pPr>
            <w:r>
              <w:rPr>
                <w:rFonts w:ascii="Arial" w:hAnsi="Arial" w:cs="Arial"/>
                <w:sz w:val="20"/>
              </w:rPr>
              <w:t>4.</w:t>
            </w:r>
            <w:r>
              <w:rPr>
                <w:rFonts w:ascii="Arial" w:hAnsi="Arial" w:cs="Arial"/>
                <w:sz w:val="20"/>
              </w:rPr>
              <w:tab/>
              <w:t>We engage employees in a regular discussion of their training needs.</w:t>
            </w:r>
          </w:p>
        </w:tc>
        <w:tc>
          <w:tcPr>
            <w:tcW w:w="71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EE1DE1" w:rsidTr="00842F08">
        <w:tblPrEx>
          <w:tblCellMar>
            <w:top w:w="0" w:type="dxa"/>
            <w:bottom w:w="0" w:type="dxa"/>
          </w:tblCellMar>
        </w:tblPrEx>
        <w:tc>
          <w:tcPr>
            <w:tcW w:w="6244" w:type="dxa"/>
            <w:tcMar>
              <w:top w:w="101" w:type="dxa"/>
              <w:left w:w="0" w:type="dxa"/>
              <w:bottom w:w="101" w:type="dxa"/>
              <w:right w:w="0" w:type="dxa"/>
            </w:tcMar>
          </w:tcPr>
          <w:p w:rsidR="00EE1DE1" w:rsidRDefault="00EE1DE1" w:rsidP="00842F08">
            <w:pPr>
              <w:tabs>
                <w:tab w:val="left" w:pos="288"/>
              </w:tabs>
              <w:ind w:left="288" w:hanging="288"/>
              <w:rPr>
                <w:rFonts w:ascii="Arial" w:hAnsi="Arial" w:cs="Arial"/>
                <w:sz w:val="20"/>
              </w:rPr>
            </w:pPr>
            <w:r>
              <w:rPr>
                <w:rFonts w:ascii="Arial" w:hAnsi="Arial" w:cs="Arial"/>
                <w:sz w:val="20"/>
              </w:rPr>
              <w:t>5.</w:t>
            </w:r>
            <w:r>
              <w:rPr>
                <w:rFonts w:ascii="Arial" w:hAnsi="Arial" w:cs="Arial"/>
                <w:sz w:val="20"/>
              </w:rPr>
              <w:tab/>
              <w:t>We encourage employees to participate in regional and/or national grantmaking conferences, programs, associations or support groups for professional development and sharing of information, as appropriate and financially feasible.</w:t>
            </w:r>
          </w:p>
        </w:tc>
        <w:tc>
          <w:tcPr>
            <w:tcW w:w="71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94"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806"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5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c>
          <w:tcPr>
            <w:tcW w:w="770" w:type="dxa"/>
          </w:tcPr>
          <w:p w:rsidR="00EE1DE1" w:rsidRDefault="00EE1DE1" w:rsidP="00842F08">
            <w:pPr>
              <w:jc w:val="center"/>
              <w:rPr>
                <w:rFonts w:ascii="Arial" w:hAnsi="Arial" w:cs="Arial"/>
                <w:sz w:val="20"/>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0C5087" w:rsidRDefault="000C5087" w:rsidP="00EE1DE1">
      <w:pPr>
        <w:spacing w:line="264" w:lineRule="auto"/>
      </w:pPr>
    </w:p>
    <w:sectPr w:rsidR="000C5087" w:rsidSect="001323E7">
      <w:headerReference w:type="first" r:id="rId15"/>
      <w:footerReference w:type="first" r:id="rId1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E97" w:rsidRDefault="00671E97">
      <w:r>
        <w:separator/>
      </w:r>
    </w:p>
  </w:endnote>
  <w:endnote w:type="continuationSeparator" w:id="0">
    <w:p w:rsidR="00671E97" w:rsidRDefault="0067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59" w:rsidRDefault="008D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59" w:rsidRPr="008D6259" w:rsidRDefault="008D6259" w:rsidP="008D6259">
    <w:pPr>
      <w:pStyle w:val="Footer"/>
      <w:jc w:val="right"/>
      <w:rPr>
        <w:rFonts w:ascii="Arial" w:hAnsi="Arial" w:cs="Arial"/>
        <w:sz w:val="16"/>
        <w:szCs w:val="16"/>
      </w:rPr>
    </w:pPr>
    <w:r w:rsidRPr="008D6259">
      <w:rPr>
        <w:rStyle w:val="PageNumber"/>
        <w:rFonts w:ascii="Arial" w:hAnsi="Arial" w:cs="Arial"/>
        <w:sz w:val="16"/>
        <w:szCs w:val="16"/>
      </w:rPr>
      <w:fldChar w:fldCharType="begin"/>
    </w:r>
    <w:r w:rsidRPr="008D6259">
      <w:rPr>
        <w:rStyle w:val="PageNumber"/>
        <w:rFonts w:ascii="Arial" w:hAnsi="Arial" w:cs="Arial"/>
        <w:sz w:val="16"/>
        <w:szCs w:val="16"/>
      </w:rPr>
      <w:instrText xml:space="preserve"> PAGE </w:instrText>
    </w:r>
    <w:r w:rsidRPr="008D6259">
      <w:rPr>
        <w:rStyle w:val="PageNumber"/>
        <w:rFonts w:ascii="Arial" w:hAnsi="Arial" w:cs="Arial"/>
        <w:sz w:val="16"/>
        <w:szCs w:val="16"/>
      </w:rPr>
      <w:fldChar w:fldCharType="separate"/>
    </w:r>
    <w:r w:rsidR="00842FC6">
      <w:rPr>
        <w:rStyle w:val="PageNumber"/>
        <w:rFonts w:ascii="Arial" w:hAnsi="Arial" w:cs="Arial"/>
        <w:noProof/>
        <w:sz w:val="16"/>
        <w:szCs w:val="16"/>
      </w:rPr>
      <w:t>4</w:t>
    </w:r>
    <w:r w:rsidRPr="008D6259">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19" w:rsidRDefault="009E5919" w:rsidP="006C3455">
    <w:pPr>
      <w:rPr>
        <w:rFonts w:ascii="Arial" w:hAnsi="Arial" w:cs="Arial"/>
        <w:b/>
        <w:bCs/>
        <w:color w:val="auto"/>
        <w:sz w:val="18"/>
      </w:rPr>
    </w:pPr>
    <w:r>
      <w:rPr>
        <w:rFonts w:ascii="Arial" w:hAnsi="Arial" w:cs="Arial"/>
        <w:b/>
        <w:bCs/>
        <w:color w:val="auto"/>
        <w:sz w:val="18"/>
      </w:rPr>
      <w:t>Acknowledgements</w:t>
    </w:r>
  </w:p>
  <w:p w:rsidR="009E5919" w:rsidRDefault="009E5919" w:rsidP="006C3455">
    <w:pPr>
      <w:rPr>
        <w:rFonts w:ascii="Arial" w:hAnsi="Arial" w:cs="Arial"/>
        <w:sz w:val="18"/>
      </w:rPr>
    </w:pPr>
    <w:r>
      <w:rPr>
        <w:rFonts w:ascii="Arial" w:hAnsi="Arial" w:cs="Arial"/>
        <w:sz w:val="18"/>
      </w:rPr>
      <w:t>This self-assessment tool represents a compilation of generally accepted good practices for foundation accountability from a number of nonprofit and philanthropic organizations, including the Forum of Regional Associations of Grantmakers, Council on Foundations, Independent Sector, Minnesota Council on Foundations, Donors Forum of Chicago, Council of Michigan Foundations, The Aspen Institute and the Association of Charitable Foundations (UK).  The format of the self-assessment tool includes elements from an assessment tool developed by Community Foundations of Canada.</w:t>
    </w:r>
  </w:p>
  <w:p w:rsidR="009E5919" w:rsidRDefault="009E5919" w:rsidP="006C3455">
    <w:pPr>
      <w:rPr>
        <w:rFonts w:ascii="Arial" w:hAnsi="Arial" w:cs="Arial"/>
        <w:sz w:val="18"/>
      </w:rPr>
    </w:pPr>
  </w:p>
  <w:p w:rsidR="009E5919" w:rsidRDefault="009E5919" w:rsidP="006C3455">
    <w:pPr>
      <w:rPr>
        <w:rFonts w:ascii="Arial" w:hAnsi="Arial" w:cs="Arial"/>
        <w:b/>
        <w:bCs/>
        <w:color w:val="auto"/>
        <w:sz w:val="18"/>
      </w:rPr>
    </w:pPr>
    <w:r>
      <w:rPr>
        <w:rFonts w:ascii="Arial" w:hAnsi="Arial" w:cs="Arial"/>
        <w:b/>
        <w:bCs/>
        <w:color w:val="auto"/>
        <w:sz w:val="18"/>
      </w:rPr>
      <w:t>Legal Disclaimer</w:t>
    </w:r>
  </w:p>
  <w:p w:rsidR="009E5919" w:rsidRDefault="009E5919" w:rsidP="006C3455">
    <w:pPr>
      <w:rPr>
        <w:rFonts w:ascii="Arial" w:hAnsi="Arial" w:cs="Arial"/>
        <w:sz w:val="18"/>
      </w:rPr>
    </w:pPr>
    <w:r>
      <w:rPr>
        <w:rFonts w:ascii="Arial" w:hAnsi="Arial" w:cs="Arial"/>
        <w:sz w:val="18"/>
      </w:rPr>
      <w:t>None of the information in this self-assessment tool should be construed as offering legal advice. The specific advice of legal counsel is recommended before acting on any matter covered in this tool.</w:t>
    </w:r>
  </w:p>
  <w:p w:rsidR="009E5919" w:rsidRDefault="009E5919" w:rsidP="006C3455">
    <w:pPr>
      <w:rPr>
        <w:rFonts w:ascii="Arial" w:hAnsi="Arial" w:cs="Arial"/>
        <w:sz w:val="18"/>
      </w:rPr>
    </w:pPr>
  </w:p>
  <w:p w:rsidR="009E5919" w:rsidRPr="006C3455" w:rsidRDefault="009E5919" w:rsidP="006C3455">
    <w:pPr>
      <w:rPr>
        <w:rFonts w:ascii="Arial" w:hAnsi="Arial" w:cs="Arial"/>
        <w:sz w:val="18"/>
      </w:rPr>
    </w:pPr>
    <w:r w:rsidRPr="006C3455">
      <w:rPr>
        <w:rFonts w:ascii="Arial" w:hAnsi="Arial" w:cs="Arial"/>
        <w:sz w:val="18"/>
      </w:rPr>
      <w:sym w:font="Symbol" w:char="F0E3"/>
    </w:r>
    <w:r w:rsidRPr="006C3455">
      <w:rPr>
        <w:rFonts w:ascii="Arial" w:hAnsi="Arial" w:cs="Arial"/>
        <w:sz w:val="18"/>
      </w:rPr>
      <w:t xml:space="preserve"> 2006, Forum of Regional Associations of Grantmakers.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19" w:rsidRPr="008D6259" w:rsidRDefault="008D6259" w:rsidP="008D6259">
    <w:pPr>
      <w:pStyle w:val="Footer"/>
      <w:jc w:val="right"/>
      <w:rPr>
        <w:rFonts w:ascii="Arial" w:hAnsi="Arial" w:cs="Arial"/>
        <w:sz w:val="16"/>
        <w:szCs w:val="16"/>
      </w:rPr>
    </w:pPr>
    <w:r w:rsidRPr="008D6259">
      <w:rPr>
        <w:rStyle w:val="PageNumber"/>
        <w:rFonts w:ascii="Arial" w:hAnsi="Arial" w:cs="Arial"/>
        <w:sz w:val="16"/>
        <w:szCs w:val="16"/>
      </w:rPr>
      <w:fldChar w:fldCharType="begin"/>
    </w:r>
    <w:r w:rsidRPr="008D6259">
      <w:rPr>
        <w:rStyle w:val="PageNumber"/>
        <w:rFonts w:ascii="Arial" w:hAnsi="Arial" w:cs="Arial"/>
        <w:sz w:val="16"/>
        <w:szCs w:val="16"/>
      </w:rPr>
      <w:instrText xml:space="preserve"> PAGE </w:instrText>
    </w:r>
    <w:r w:rsidRPr="008D6259">
      <w:rPr>
        <w:rStyle w:val="PageNumber"/>
        <w:rFonts w:ascii="Arial" w:hAnsi="Arial" w:cs="Arial"/>
        <w:sz w:val="16"/>
        <w:szCs w:val="16"/>
      </w:rPr>
      <w:fldChar w:fldCharType="separate"/>
    </w:r>
    <w:r w:rsidR="00842FC6">
      <w:rPr>
        <w:rStyle w:val="PageNumber"/>
        <w:rFonts w:ascii="Arial" w:hAnsi="Arial" w:cs="Arial"/>
        <w:noProof/>
        <w:sz w:val="16"/>
        <w:szCs w:val="16"/>
      </w:rPr>
      <w:t>2</w:t>
    </w:r>
    <w:r w:rsidRPr="008D625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E97" w:rsidRDefault="00671E97">
      <w:r>
        <w:separator/>
      </w:r>
    </w:p>
  </w:footnote>
  <w:footnote w:type="continuationSeparator" w:id="0">
    <w:p w:rsidR="00671E97" w:rsidRDefault="0067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59" w:rsidRDefault="008D6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19" w:rsidRDefault="009E5919">
    <w:pPr>
      <w:pStyle w:val="Header"/>
      <w:pBdr>
        <w:bottom w:val="single" w:sz="12" w:space="1" w:color="auto"/>
      </w:pBdr>
      <w:spacing w:after="240"/>
      <w:jc w:val="right"/>
      <w:rPr>
        <w:rFonts w:ascii="Arial" w:hAnsi="Arial" w:cs="Arial"/>
        <w:sz w:val="20"/>
      </w:rPr>
    </w:pPr>
    <w:r>
      <w:rPr>
        <w:rFonts w:ascii="Arial" w:hAnsi="Arial" w:cs="Arial"/>
        <w:sz w:val="20"/>
      </w:rPr>
      <w:t>Personnel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259" w:rsidRDefault="008D62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919" w:rsidRPr="006C3455" w:rsidRDefault="009E5919" w:rsidP="0016275A">
    <w:pPr>
      <w:pStyle w:val="Header"/>
      <w:spacing w:after="240"/>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5084"/>
    <w:multiLevelType w:val="hybridMultilevel"/>
    <w:tmpl w:val="4B2C4840"/>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72607"/>
    <w:multiLevelType w:val="hybridMultilevel"/>
    <w:tmpl w:val="41AA953E"/>
    <w:lvl w:ilvl="0" w:tplc="F3F45BFA">
      <w:start w:val="1"/>
      <w:numFmt w:val="bullet"/>
      <w:lvlText w:val=""/>
      <w:lvlJc w:val="left"/>
      <w:pPr>
        <w:tabs>
          <w:tab w:val="num" w:pos="792"/>
        </w:tabs>
        <w:ind w:left="792" w:hanging="504"/>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1B2875D6"/>
    <w:multiLevelType w:val="hybridMultilevel"/>
    <w:tmpl w:val="B208557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B800E0"/>
    <w:multiLevelType w:val="hybridMultilevel"/>
    <w:tmpl w:val="61A0A7D2"/>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0C6A17"/>
    <w:multiLevelType w:val="hybridMultilevel"/>
    <w:tmpl w:val="6DDE61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C0897"/>
    <w:multiLevelType w:val="hybridMultilevel"/>
    <w:tmpl w:val="5FC43FCC"/>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0525FB"/>
    <w:multiLevelType w:val="hybridMultilevel"/>
    <w:tmpl w:val="8A84814E"/>
    <w:lvl w:ilvl="0" w:tplc="F3F45BFA">
      <w:start w:val="1"/>
      <w:numFmt w:val="bullet"/>
      <w:lvlText w:val=""/>
      <w:lvlJc w:val="left"/>
      <w:pPr>
        <w:tabs>
          <w:tab w:val="num" w:pos="564"/>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68567D14"/>
    <w:multiLevelType w:val="hybridMultilevel"/>
    <w:tmpl w:val="81B0A3C6"/>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C57582"/>
    <w:multiLevelType w:val="hybridMultilevel"/>
    <w:tmpl w:val="65CCA2C6"/>
    <w:lvl w:ilvl="0" w:tplc="C442B274">
      <w:start w:val="4"/>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B9038B"/>
    <w:multiLevelType w:val="hybridMultilevel"/>
    <w:tmpl w:val="1CB846E8"/>
    <w:lvl w:ilvl="0" w:tplc="F3F45BF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9"/>
  </w:num>
  <w:num w:numId="7">
    <w:abstractNumId w:val="4"/>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9C"/>
    <w:rsid w:val="000C5087"/>
    <w:rsid w:val="0010717A"/>
    <w:rsid w:val="001323E7"/>
    <w:rsid w:val="0016275A"/>
    <w:rsid w:val="001678E4"/>
    <w:rsid w:val="00224655"/>
    <w:rsid w:val="00224C86"/>
    <w:rsid w:val="0025746A"/>
    <w:rsid w:val="00291154"/>
    <w:rsid w:val="002F610D"/>
    <w:rsid w:val="003152FE"/>
    <w:rsid w:val="003D0027"/>
    <w:rsid w:val="004070A4"/>
    <w:rsid w:val="00415705"/>
    <w:rsid w:val="004835B8"/>
    <w:rsid w:val="004E4652"/>
    <w:rsid w:val="00511562"/>
    <w:rsid w:val="0062619F"/>
    <w:rsid w:val="00671E97"/>
    <w:rsid w:val="006C3455"/>
    <w:rsid w:val="006C59FD"/>
    <w:rsid w:val="00842F08"/>
    <w:rsid w:val="00842FC6"/>
    <w:rsid w:val="008A1A8D"/>
    <w:rsid w:val="008D6259"/>
    <w:rsid w:val="008F3687"/>
    <w:rsid w:val="00905319"/>
    <w:rsid w:val="009538F2"/>
    <w:rsid w:val="0099226C"/>
    <w:rsid w:val="009E5919"/>
    <w:rsid w:val="009F7804"/>
    <w:rsid w:val="00A04B6C"/>
    <w:rsid w:val="00A2666F"/>
    <w:rsid w:val="00A5721E"/>
    <w:rsid w:val="00AE1AEA"/>
    <w:rsid w:val="00AE73A6"/>
    <w:rsid w:val="00AF2728"/>
    <w:rsid w:val="00AF3CCA"/>
    <w:rsid w:val="00B568FF"/>
    <w:rsid w:val="00B9079A"/>
    <w:rsid w:val="00B95D21"/>
    <w:rsid w:val="00BE667D"/>
    <w:rsid w:val="00BF1230"/>
    <w:rsid w:val="00C40894"/>
    <w:rsid w:val="00C42D23"/>
    <w:rsid w:val="00D2465F"/>
    <w:rsid w:val="00D50F8A"/>
    <w:rsid w:val="00D9043F"/>
    <w:rsid w:val="00E24E43"/>
    <w:rsid w:val="00EA5AF7"/>
    <w:rsid w:val="00EE1DE1"/>
    <w:rsid w:val="00FA090E"/>
    <w:rsid w:val="00FA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DAEDA0-6E8D-4248-8E60-897EE372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auto"/>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auto"/>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color w:val="auto"/>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Cs w:val="24"/>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contentcopybold1">
    <w:name w:val="content_copybold1"/>
    <w:basedOn w:val="DefaultParagraphFont"/>
    <w:rPr>
      <w:rFonts w:ascii="Arial" w:hAnsi="Arial" w:cs="Arial" w:hint="default"/>
      <w:b/>
      <w:bCs/>
      <w:i w:val="0"/>
      <w:iCs w:val="0"/>
      <w:color w:val="000000"/>
      <w:sz w:val="18"/>
      <w:szCs w:val="18"/>
    </w:rPr>
  </w:style>
  <w:style w:type="character" w:customStyle="1" w:styleId="xbigbodybold1">
    <w:name w:val="xbigbodybold1"/>
    <w:basedOn w:val="DefaultParagraphFont"/>
    <w:rPr>
      <w:rFonts w:ascii="Arial" w:hAnsi="Arial" w:cs="Arial" w:hint="default"/>
      <w:b/>
      <w:bCs/>
      <w:i w:val="0"/>
      <w:iCs w:val="0"/>
      <w:sz w:val="28"/>
      <w:szCs w:val="28"/>
    </w:rPr>
  </w:style>
  <w:style w:type="character" w:styleId="Strong">
    <w:name w:val="Strong"/>
    <w:basedOn w:val="DefaultParagraphFont"/>
    <w:qFormat/>
    <w:rPr>
      <w:b/>
      <w:bCs/>
    </w:rPr>
  </w:style>
  <w:style w:type="character" w:customStyle="1" w:styleId="content1">
    <w:name w:val="content1"/>
    <w:basedOn w:val="DefaultParagraphFont"/>
    <w:rPr>
      <w:rFonts w:ascii="Verdana" w:hAnsi="Verdana" w:hint="default"/>
      <w:b w:val="0"/>
      <w:bCs w:val="0"/>
      <w:strike w:val="0"/>
      <w:dstrike w:val="0"/>
      <w:sz w:val="16"/>
      <w:szCs w:val="16"/>
      <w:u w:val="none"/>
      <w:effect w:val="none"/>
    </w:rPr>
  </w:style>
  <w:style w:type="character" w:styleId="Emphasis">
    <w:name w:val="Emphasis"/>
    <w:basedOn w:val="DefaultParagraphFont"/>
    <w:qFormat/>
    <w:rPr>
      <w:i/>
      <w:iCs/>
    </w:rPr>
  </w:style>
  <w:style w:type="character" w:customStyle="1" w:styleId="contentblue1">
    <w:name w:val="contentblue1"/>
    <w:basedOn w:val="DefaultParagraphFont"/>
    <w:rPr>
      <w:rFonts w:ascii="Verdana" w:hAnsi="Verdana" w:hint="default"/>
      <w:b/>
      <w:bCs/>
      <w:strike w:val="0"/>
      <w:dstrike w:val="0"/>
      <w:sz w:val="16"/>
      <w:szCs w:val="16"/>
      <w:u w:val="none"/>
      <w:effect w:val="none"/>
    </w:rPr>
  </w:style>
  <w:style w:type="character" w:customStyle="1" w:styleId="userbluetitleblock1">
    <w:name w:val="user_bluetitleblock1"/>
    <w:basedOn w:val="DefaultParagraphFont"/>
    <w:rPr>
      <w:color w:val="0031A3"/>
      <w:sz w:val="17"/>
      <w:szCs w:val="17"/>
    </w:rPr>
  </w:style>
  <w:style w:type="character" w:customStyle="1" w:styleId="redtitle1">
    <w:name w:val="redtitle1"/>
    <w:basedOn w:val="DefaultParagraphFont"/>
    <w:rPr>
      <w:rFonts w:ascii="Arial" w:hAnsi="Arial" w:cs="Arial" w:hint="default"/>
      <w:b/>
      <w:bCs/>
      <w:color w:val="CC3333"/>
      <w:sz w:val="20"/>
      <w:szCs w:val="20"/>
    </w:rPr>
  </w:style>
  <w:style w:type="character" w:customStyle="1" w:styleId="textrag1">
    <w:name w:val="text_rag1"/>
    <w:basedOn w:val="DefaultParagraphFont"/>
    <w:rPr>
      <w:rFonts w:ascii="Verdana" w:hAnsi="Verdana" w:hint="default"/>
      <w:sz w:val="17"/>
      <w:szCs w:val="17"/>
    </w:rPr>
  </w:style>
  <w:style w:type="character" w:customStyle="1" w:styleId="bodytxt2">
    <w:name w:val="bodytxt2"/>
    <w:basedOn w:val="DefaultParagraphFont"/>
    <w:rPr>
      <w:rFonts w:ascii="Arial" w:hAnsi="Arial" w:cs="Arial" w:hint="default"/>
      <w:sz w:val="18"/>
      <w:szCs w:val="18"/>
    </w:rPr>
  </w:style>
  <w:style w:type="character" w:customStyle="1" w:styleId="publicheader1">
    <w:name w:val="publicheader1"/>
    <w:basedOn w:val="DefaultParagraphFont"/>
    <w:rPr>
      <w:rFonts w:ascii="Arial" w:hAnsi="Arial" w:cs="Arial" w:hint="default"/>
      <w:b/>
      <w:bCs/>
      <w:strike w:val="0"/>
      <w:dstrike w:val="0"/>
      <w:sz w:val="24"/>
      <w:szCs w:val="24"/>
      <w:u w:val="none"/>
      <w:effect w:val="none"/>
    </w:rPr>
  </w:style>
  <w:style w:type="character" w:customStyle="1" w:styleId="title1">
    <w:name w:val="title1"/>
    <w:basedOn w:val="DefaultParagraphFont"/>
    <w:rPr>
      <w:rFonts w:ascii="Arial" w:hAnsi="Arial" w:cs="Arial" w:hint="default"/>
      <w:b/>
      <w:bCs/>
      <w:i w:val="0"/>
      <w:iCs w:val="0"/>
      <w:sz w:val="24"/>
      <w:szCs w:val="24"/>
    </w:rPr>
  </w:style>
  <w:style w:type="character" w:customStyle="1" w:styleId="breadcrumb1">
    <w:name w:val="breadcrumb1"/>
    <w:basedOn w:val="DefaultParagraphFont"/>
    <w:rPr>
      <w:rFonts w:ascii="Verdana" w:hAnsi="Verdana" w:hint="default"/>
      <w:color w:val="000000"/>
      <w:sz w:val="15"/>
      <w:szCs w:val="15"/>
    </w:rPr>
  </w:style>
  <w:style w:type="character" w:customStyle="1" w:styleId="bodynormal1">
    <w:name w:val="bodynormal1"/>
    <w:basedOn w:val="DefaultParagraphFont"/>
    <w:rPr>
      <w:rFonts w:ascii="Arial" w:hAnsi="Arial" w:cs="Arial" w:hint="default"/>
      <w:i w:val="0"/>
      <w:iCs w:val="0"/>
      <w:sz w:val="18"/>
      <w:szCs w:val="18"/>
    </w:rPr>
  </w:style>
  <w:style w:type="paragraph" w:customStyle="1" w:styleId="p3">
    <w:name w:val="p3"/>
    <w:basedOn w:val="Default"/>
    <w:next w:val="Default"/>
    <w:rPr>
      <w:color w:val="auto"/>
    </w:rPr>
  </w:style>
  <w:style w:type="character" w:customStyle="1" w:styleId="bigbodyboldblue1">
    <w:name w:val="bigbodyboldblue1"/>
    <w:basedOn w:val="DefaultParagraphFont"/>
    <w:rPr>
      <w:rFonts w:ascii="Arial" w:hAnsi="Arial" w:cs="Arial" w:hint="default"/>
      <w:b/>
      <w:bCs/>
      <w:i w:val="0"/>
      <w:iCs w:val="0"/>
      <w:color w:val="003366"/>
      <w:sz w:val="22"/>
      <w:szCs w:val="22"/>
    </w:rPr>
  </w:style>
  <w:style w:type="paragraph" w:styleId="Header">
    <w:name w:val="header"/>
    <w:basedOn w:val="Normal"/>
    <w:pPr>
      <w:tabs>
        <w:tab w:val="center" w:pos="4320"/>
        <w:tab w:val="right" w:pos="8640"/>
      </w:tabs>
    </w:pPr>
  </w:style>
  <w:style w:type="character" w:styleId="CommentReference">
    <w:name w:val="annotation reference"/>
    <w:basedOn w:val="DefaultParagraphFont"/>
    <w:semiHidden/>
    <w:rPr>
      <w:vanish/>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Private Foundation Accountability Self-Assessment</vt:lpstr>
    </vt:vector>
  </TitlesOfParts>
  <Company>Minnesota Council on Foundations</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Foundation Accountability Self-Assessment</dc:title>
  <dc:subject/>
  <dc:creator>cmoore</dc:creator>
  <cp:keywords/>
  <dc:description/>
  <cp:lastModifiedBy>Laurie</cp:lastModifiedBy>
  <cp:revision>2</cp:revision>
  <cp:lastPrinted>2006-10-25T19:24:00Z</cp:lastPrinted>
  <dcterms:created xsi:type="dcterms:W3CDTF">2020-06-03T15:14:00Z</dcterms:created>
  <dcterms:modified xsi:type="dcterms:W3CDTF">2020-06-03T15:14:00Z</dcterms:modified>
</cp:coreProperties>
</file>